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MastJournal"/>
      </w:pPr>
      <w:hyperlink r:id="rId20">
        <w:r>
          <w:rPr>
            <w:rStyle w:val="Hyperlink"/>
          </w:rPr>
          <w:t xml:space="preserve">Avyukta Journal of Management and Social Sciences</w:t>
        </w:r>
      </w:hyperlink>
    </w:p>
    <w:p>
      <w:pPr>
        <w:pStyle w:val="MastIssue"/>
      </w:pPr>
      <w:r>
        <w:rPr>
          <w:rFonts w:ascii="Times New Roman" w:hAnsi="Times New Roman"/>
        </w:rPr>
        <w:t xml:space="preserve">Vol. 2, No. 1, 2017 | </w:t>
      </w:r>
      <w:hyperlink r:id="rId20">
        <w:r>
          <w:rPr>
            <w:rStyle w:val="Hyperlink"/>
          </w:rPr>
          <w:t xml:space="preserve">www.aijmss.com</w:t>
        </w:r>
      </w:hyperlink>
    </w:p>
    <w:p>
      <w:pPr>
        <w:pStyle w:val="Title"/>
      </w:pPr>
      <w:r>
        <w:rPr>
          <w:rFonts w:ascii="Times New Roman" w:hAnsi="Times New Roman"/>
        </w:rPr>
        <w:t xml:space="preserve">Strategic Financial Management and Its Impact on Corporate Performance and Sustainable Business Growth</w:t>
      </w:r>
    </w:p>
    <w:p>
      <w:pPr>
        <w:pStyle w:val="Author"/>
      </w:pPr>
      <w:r>
        <w:rPr>
          <w:bCs/>
          <w:rFonts w:ascii="Times New Roman" w:hAnsi="Times New Roman"/>
          <w:b/>
        </w:rPr>
        <w:t xml:space="preserve">Amit Agarwal</w:t>
      </w:r>
    </w:p>
    <w:p>
      <w:pPr>
        <w:pStyle w:val="Affiliation"/>
      </w:pPr>
      <w:r>
        <w:rPr>
          <w:rFonts w:ascii="Times New Roman" w:hAnsi="Times New Roman"/>
        </w:rPr>
        <w:t xml:space="preserve">Department of Commerce, SBP University, Pune, Maharashtra, India</w:t>
      </w:r>
    </w:p>
    <w:p>
      <w:pPr>
        <w:pStyle w:val="AbstractHeading"/>
      </w:pPr>
      <w:r>
        <w:rPr>
          <w:rFonts w:ascii="Times New Roman" w:hAnsi="Times New Roman"/>
        </w:rPr>
        <w:t xml:space="preserve">Abstract</w:t>
      </w:r>
    </w:p>
    <w:p>
      <w:pPr>
        <w:pStyle w:val="AbstractText"/>
      </w:pPr>
      <w:r>
        <w:rPr>
          <w:rFonts w:ascii="Times New Roman" w:hAnsi="Times New Roman"/>
        </w:rPr>
        <w:t xml:space="preserve">Financial management has evolved from a narrow function concerned with bookkeeping, funding and compliance into a strategic discipline that shapes a firm’s direction, competitiveness and long-term value. This article examines strategic financial management (SFM), defined as the integration of financial decision-making with corporate strategy to create sustainable value. It reviews the core components of SFM: investment and capital budgeting, financing and capital structure, working capital management, payout policy, risk management, and financial planning and performance measurement. Drawing on finance and strategy research, it assesses how these decisions affect corporate performance, including profitability, shareholder value, resilience and governance quality. The article then links SFM to sustainable business growth, using the concept of the sustainable growth rate and recent evidence on environmental, social and governance (ESG) performance. Particular attention is given to the Indian context, including the Companies Act 2013, the mandatory corporate social responsibility provision, the adoption of Indian Accounting Standards and the Insolvency and Bankruptcy Code 2016. The article concludes that firms achieve durable growth when financial decisions are aligned with strategy, disciplined by sound governance and extended to account for long-term social and environmental risks.</w:t>
      </w:r>
    </w:p>
    <w:p>
      <w:pPr>
        <w:pStyle w:val="Keywords"/>
      </w:pPr>
      <w:r>
        <w:rPr>
          <w:iCs/>
          <w:i/>
          <w:bCs/>
          <w:rFonts w:ascii="Times New Roman" w:hAnsi="Times New Roman"/>
          <w:b/>
        </w:rPr>
        <w:t xml:space="preserve">Keywords:</w:t>
      </w:r>
      <w:r>
        <w:rPr>
          <w:rFonts w:ascii="Times New Roman" w:hAnsi="Times New Roman"/>
        </w:rPr>
        <w:t xml:space="preserve"> </w:t>
      </w:r>
      <w:r>
        <w:rPr>
          <w:rFonts w:ascii="Times New Roman" w:hAnsi="Times New Roman"/>
        </w:rPr>
        <w:t xml:space="preserve">strategic financial management, capital structure, capital budgeting, working capital, value-based management, corporate performance, sustainable growth, ESG, India</w:t>
      </w:r>
    </w:p>
    <w:p>
      <w:pPr>
        <w:pStyle w:val="CiteAs"/>
      </w:pPr>
      <w:r>
        <w:rPr>
          <w:bCs/>
          <w:rFonts w:ascii="Times New Roman" w:hAnsi="Times New Roman"/>
          <w:b/>
        </w:rPr>
        <w:t xml:space="preserve">Cite this article:</w:t>
      </w:r>
      <w:r>
        <w:rPr>
          <w:rFonts w:ascii="Times New Roman" w:hAnsi="Times New Roman"/>
        </w:rPr>
        <w:t xml:space="preserve"> </w:t>
      </w:r>
      <w:r>
        <w:rPr>
          <w:rFonts w:ascii="Times New Roman" w:hAnsi="Times New Roman"/>
        </w:rPr>
        <w:t xml:space="preserve">Agarwal, A. (2017). Strategic financial management and its impact on corporate performance and sustainable business growth.</w:t>
      </w:r>
      <w:r>
        <w:rPr>
          <w:rFonts w:ascii="Times New Roman" w:hAnsi="Times New Roman"/>
        </w:rPr>
        <w:t xml:space="preserve"> </w:t>
      </w:r>
      <w:r>
        <w:rPr>
          <w:iCs/>
          <w:rFonts w:ascii="Times New Roman" w:hAnsi="Times New Roman"/>
          <w:i/>
        </w:rPr>
        <w:t xml:space="preserve">Avyukta Journal of Management and Social Sciences</w:t>
      </w:r>
      <w:r>
        <w:rPr>
          <w:rFonts w:ascii="Times New Roman" w:hAnsi="Times New Roman"/>
        </w:rPr>
        <w:t xml:space="preserve">,</w:t>
      </w:r>
      <w:r>
        <w:rPr>
          <w:rFonts w:ascii="Times New Roman" w:hAnsi="Times New Roman"/>
        </w:rPr>
        <w:t xml:space="preserve"> </w:t>
      </w:r>
      <w:r>
        <w:rPr>
          <w:iCs/>
          <w:rFonts w:ascii="Times New Roman" w:hAnsi="Times New Roman"/>
          <w:i/>
        </w:rPr>
        <w:t xml:space="preserve">2</w:t>
      </w:r>
      <w:r>
        <w:rPr>
          <w:rFonts w:ascii="Times New Roman" w:hAnsi="Times New Roman"/>
        </w:rPr>
        <w:t xml:space="preserve">(1).</w:t>
      </w:r>
    </w:p>
    <w:p>
      <w:pPr>
        <w:pStyle w:val="SectionBreakMarker"/>
        <w:sectPr>
          <w:headerReference w:type="default" r:id="rId9"/>
          <w:footerReference w:type="default" r:id="rId10"/>
          <w:headerReference w:type="first" r:id="rId11"/>
          <w:footerReference w:type="first" r:id="rId12"/>
          <w:pgSz w:h="15840" w:w="12240"/>
          <w:pgMar w:bottom="1224" w:footer="576" w:header="576" w:left="1080" w:right="1080" w:top="1296"/>
          <w:cols w:num="1" w:space="720"/>
          <w:titlePg/>
        </w:sectPr>
      </w:pPr>
      <w:r>
        <w:rPr>
          <w:rFonts w:ascii="Times New Roman" w:hAnsi="Times New Roman"/>
        </w:rPr>
      </w:r>
      <w:r>
        <w:rPr>
          <w:rFonts w:ascii="Times New Roman" w:hAnsi="Times New Roman"/>
        </w:rPr>
      </w:r>
      <w:r>
        <w:rPr>
          <w:rFonts w:ascii="Times New Roman" w:hAnsi="Times New Roman"/>
        </w:rPr>
      </w:r>
    </w:p>
    <w:bookmarkStart w:id="21" w:name="introduction"/>
    <w:p>
      <w:pPr>
        <w:pStyle w:val="Heading1"/>
      </w:pPr>
      <w:r>
        <w:rPr>
          <w:rFonts w:ascii="Times New Roman" w:hAnsi="Times New Roman"/>
        </w:rPr>
        <w:t xml:space="preserve">1. Introduction</w:t>
      </w:r>
    </w:p>
    <w:p>
      <w:pPr>
        <w:pStyle w:val="FirstParagraph"/>
      </w:pPr>
      <w:r>
        <w:rPr>
          <w:rFonts w:ascii="Times New Roman" w:hAnsi="Times New Roman"/>
        </w:rPr>
        <w:t xml:space="preserve">Every strategic choice a firm makes has financial consequences, and every financial decision shapes strategic options. Entering a new market, acquiring a competitor, investing in research or expanding capacity all require capital, carry risk and affect future cash flows. Conversely, a firm’s capital structure, liquidity and cost of capital determine which strategies it can realistically pursue. Strategic financial management is the discipline that brings these two perspectives together.</w:t>
      </w:r>
    </w:p>
    <w:p>
      <w:pPr>
        <w:pStyle w:val="BodyText"/>
      </w:pPr>
      <w:r>
        <w:rPr>
          <w:rFonts w:ascii="Times New Roman" w:hAnsi="Times New Roman"/>
        </w:rPr>
        <w:t xml:space="preserve">Traditionally, the finance function was seen as a support activity responsible for recording transactions, raising funds and ensuring compliance. Over the past three decades this view has changed. Globalisation, capital market development, increased competition and greater scrutiny by investors and regulators have pushed finance to the centre of strategic decision-making. Chief financial officers now play a central role in setting strategy, allocating capital across businesses and communicating with investors.</w:t>
      </w:r>
    </w:p>
    <w:p>
      <w:pPr>
        <w:pStyle w:val="BodyText"/>
      </w:pPr>
      <w:r>
        <w:rPr>
          <w:rFonts w:ascii="Times New Roman" w:hAnsi="Times New Roman"/>
        </w:rPr>
        <w:t xml:space="preserve">At the same time, the definition of success has broadened. Shareholders, regulators and society increasingly expect firms to deliver not only short-term profits but sustainable growth, which means growth that can be financed without excessive risk and that accounts for environmental and social impacts. This shift is visible in India, where the Companies Act 2013 introduced mandatory corporate social responsibility spending for large companies and the Securities and Exchange Board of India (SEBI) required business responsibility reporting by leading listed firms.</w:t>
      </w:r>
    </w:p>
    <w:p>
      <w:pPr>
        <w:pStyle w:val="BodyText"/>
      </w:pPr>
      <w:r>
        <w:rPr>
          <w:rFonts w:ascii="Times New Roman" w:hAnsi="Times New Roman"/>
        </w:rPr>
        <w:t xml:space="preserve">This article examines strategic financial management and its impact on corporate performance and sustainable growth. Section 2 outlines the concept and framework of SFM. Section 3 reviews its core components. Section 4 assesses its impact on corporate performance. Section 5 links SFM to sustainable growth. Section 6 considers the Indian context. Sections 7 and 8 discuss challenges and implications, and Section 9 concludes.</w:t>
      </w:r>
    </w:p>
    <w:bookmarkEnd w:id="21"/>
    <w:bookmarkStart w:id="25" w:name="X4322bcecf8c48302b8fc551cfdec85a6ba1669f"/>
    <w:p>
      <w:pPr>
        <w:pStyle w:val="Heading1"/>
      </w:pPr>
      <w:r>
        <w:rPr>
          <w:rFonts w:ascii="Times New Roman" w:hAnsi="Times New Roman"/>
        </w:rPr>
        <w:t xml:space="preserve">2. Concept and Framework of Strategic Financial Management</w:t>
      </w:r>
    </w:p>
    <w:bookmarkStart w:id="22" w:name="Xf66c7c7621d92ed2ba233089d770834eb17ae11"/>
    <w:p>
      <w:pPr>
        <w:pStyle w:val="Heading2"/>
      </w:pPr>
      <w:r>
        <w:rPr>
          <w:rFonts w:ascii="Times New Roman" w:hAnsi="Times New Roman"/>
        </w:rPr>
        <w:t xml:space="preserve">2.1 From financial management to strategic financial management</w:t>
      </w:r>
    </w:p>
    <w:p>
      <w:pPr>
        <w:pStyle w:val="FirstParagraph"/>
      </w:pPr>
      <w:r>
        <w:rPr>
          <w:rFonts w:ascii="Times New Roman" w:hAnsi="Times New Roman"/>
        </w:rPr>
        <w:t xml:space="preserve">Conventional financial management focuses on three classic decisions: what to invest in, how to finance those investments and how much to return to shareholders. Strategic financial management retains these decisions but frames them in terms of long-term strategy and value creation. It asks not only whether an investment earns more than its cost of capital, but whether it strengthens the firm’s competitive position, fits its portfolio of businesses and is resilient to future risks.</w:t>
      </w:r>
    </w:p>
    <w:bookmarkEnd w:id="22"/>
    <w:bookmarkStart w:id="23" w:name="the-objective-of-value-creation"/>
    <w:p>
      <w:pPr>
        <w:pStyle w:val="Heading2"/>
      </w:pPr>
      <w:r>
        <w:rPr>
          <w:rFonts w:ascii="Times New Roman" w:hAnsi="Times New Roman"/>
        </w:rPr>
        <w:t xml:space="preserve">2.2 The objective of value creation</w:t>
      </w:r>
    </w:p>
    <w:p>
      <w:pPr>
        <w:pStyle w:val="FirstParagraph"/>
      </w:pPr>
      <w:r>
        <w:rPr>
          <w:rFonts w:ascii="Times New Roman" w:hAnsi="Times New Roman"/>
        </w:rPr>
        <w:t xml:space="preserve">The dominant objective in modern finance is maximising the long-term value of the firm. Rappaport (1986) argued that managers should evaluate strategies by their effect on shareholder value, estimated as the present value of expected future cash flows. Stewart (1991) popularised economic value added (EVA), defined as net operating profit after tax minus a charge for the capital employed, as a measure of whether a business earns more than its cost of capital. These approaches, together known as value-based management, link strategic and financial decisions through a common metric.</w:t>
      </w:r>
    </w:p>
    <w:bookmarkEnd w:id="23"/>
    <w:bookmarkStart w:id="24" w:name="agency-and-governance"/>
    <w:p>
      <w:pPr>
        <w:pStyle w:val="Heading2"/>
      </w:pPr>
      <w:r>
        <w:rPr>
          <w:rFonts w:ascii="Times New Roman" w:hAnsi="Times New Roman"/>
        </w:rPr>
        <w:t xml:space="preserve">2.3 Agency and governance</w:t>
      </w:r>
    </w:p>
    <w:p>
      <w:pPr>
        <w:pStyle w:val="FirstParagraph"/>
      </w:pPr>
      <w:r>
        <w:rPr>
          <w:rFonts w:ascii="Times New Roman" w:hAnsi="Times New Roman"/>
        </w:rPr>
        <w:t xml:space="preserve">Value creation depends on managers acting in the interests of owners. Jensen and Meckling (1976) showed that when ownership and control are separated, managers may pursue their own interests at shareholders’ expense, creating agency costs. Jensen (1986) argued that firms with substantial free cash flow are particularly prone to wasteful investment, and that debt and payouts can discipline managers by reducing the cash available for discretionary spending. Shleifer and Vishny (1997) reviewed how legal protection of investors and concentrated ownership shape corporate governance around the world. Strategic financial management therefore includes the design of governance mechanisms that align managerial decisions with long-term value.</w:t>
      </w:r>
    </w:p>
    <w:bookmarkEnd w:id="24"/>
    <w:bookmarkEnd w:id="25"/>
    <w:bookmarkStart w:id="32" w:name="Xc7e33c201f92e7d4ea69134be3a1870758f9cb9"/>
    <w:p>
      <w:pPr>
        <w:pStyle w:val="Heading1"/>
      </w:pPr>
      <w:r>
        <w:rPr>
          <w:rFonts w:ascii="Times New Roman" w:hAnsi="Times New Roman"/>
        </w:rPr>
        <w:t xml:space="preserve">3. Core Components of Strategic Financial Management</w:t>
      </w:r>
    </w:p>
    <w:p>
      <w:pPr>
        <w:pStyle w:val="TableLabel"/>
      </w:pPr>
      <w:r>
        <w:rPr>
          <w:bCs/>
          <w:rFonts w:ascii="Times New Roman" w:hAnsi="Times New Roman"/>
          <w:b/>
        </w:rPr>
        <w:t xml:space="preserve">Table 1</w:t>
      </w:r>
    </w:p>
    <w:p>
      <w:pPr>
        <w:pStyle w:val="TableTitle"/>
      </w:pPr>
      <w:r>
        <w:rPr>
          <w:iCs/>
          <w:rFonts w:ascii="Times New Roman" w:hAnsi="Times New Roman"/>
          <w:i/>
        </w:rPr>
        <w:t xml:space="preserve">Core Components of Strategic Financial Management</w:t>
      </w:r>
    </w:p>
    <w:tbl>
      <w:tblPr>
        <w:tblStyle w:val="Table"/>
        <w:tblLook w:firstRow="1" w:lastRow="0" w:firstColumn="0" w:lastColumn="0" w:noHBand="0" w:noVBand="0" w:val="0020"/>
        <w:jc w:val="start"/>
        <w:tblBorders>
          <w:top w:val="single" w:sz="8" w:space="0" w:color="000000"/>
          <w:bottom w:val="single" w:sz="8" w:space="0" w:color="000000"/>
          <w:left w:val="nil"/>
          <w:right w:val="nil"/>
          <w:insideV w:val="nil"/>
          <w:insideH w:val="nil"/>
        </w:tblBorders>
        <w:tblW w:w="4680" w:type="dxa"/>
        <w:tblLayout w:type="fixed"/>
      </w:tblPr>
      <w:tblGrid>
        <w:gridCol w:w="1368"/>
        <w:gridCol w:w="1944"/>
        <w:gridCol w:w="1368"/>
      </w:tblGrid>
      <w:tr>
        <w:trPr>
          <w:tblHeader w:val="true"/>
          <w:cantSplit/>
          <w:tblHeader/>
        </w:trPr>
        <w:tc>
          <w:tcPr>
            <w:tcW w:type="dxa" w:w="1368"/>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6"/>
              </w:rPr>
              <w:t xml:space="preserve">Component</w:t>
            </w:r>
          </w:p>
        </w:tc>
        <w:tc>
          <w:tcPr>
            <w:tcW w:type="dxa" w:w="1944"/>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6"/>
              </w:rPr>
              <w:t xml:space="preserve">Key strategic question</w:t>
            </w:r>
          </w:p>
        </w:tc>
        <w:tc>
          <w:tcPr>
            <w:tcW w:type="dxa" w:w="1368"/>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6"/>
              </w:rPr>
              <w:t xml:space="preserve">Typical tools and metrics</w:t>
            </w:r>
          </w:p>
        </w:tc>
      </w:tr>
      <w:tr>
        <w:trPr>
          <w:cantSplit/>
        </w:trPr>
        <w:tc>
          <w:tcPr>
            <w:tcW w:type="dxa" w:w="1368"/>
          </w:tcPr>
          <w:p>
            <w:pPr>
              <w:pStyle w:val="Compact"/>
              <w:spacing w:line="240" w:lineRule="auto" w:before="30" w:after="30"/>
              <w:ind w:firstLine="0" w:left="0"/>
              <w:jc w:val="left"/>
            </w:pPr>
            <w:r>
              <w:rPr>
                <w:rFonts w:ascii="Times New Roman" w:hAnsi="Times New Roman"/>
                <w:sz w:val="16"/>
              </w:rPr>
              <w:t xml:space="preserve">Investment and capital budgeting</w:t>
            </w:r>
          </w:p>
        </w:tc>
        <w:tc>
          <w:tcPr>
            <w:tcW w:type="dxa" w:w="1944"/>
          </w:tcPr>
          <w:p>
            <w:pPr>
              <w:pStyle w:val="Compact"/>
              <w:spacing w:line="240" w:lineRule="auto" w:before="30" w:after="30"/>
              <w:ind w:firstLine="0" w:left="0"/>
              <w:jc w:val="left"/>
            </w:pPr>
            <w:r>
              <w:rPr>
                <w:rFonts w:ascii="Times New Roman" w:hAnsi="Times New Roman"/>
                <w:sz w:val="16"/>
              </w:rPr>
              <w:t xml:space="preserve">Which projects and businesses create value?</w:t>
            </w:r>
          </w:p>
        </w:tc>
        <w:tc>
          <w:tcPr>
            <w:tcW w:type="dxa" w:w="1368"/>
          </w:tcPr>
          <w:p>
            <w:pPr>
              <w:pStyle w:val="Compact"/>
              <w:spacing w:line="240" w:lineRule="auto" w:before="30" w:after="30"/>
              <w:ind w:firstLine="0" w:left="0"/>
              <w:jc w:val="left"/>
            </w:pPr>
            <w:r>
              <w:rPr>
                <w:rFonts w:ascii="Times New Roman" w:hAnsi="Times New Roman"/>
                <w:sz w:val="16"/>
              </w:rPr>
              <w:t xml:space="preserve">NPV, IRR, real options, strategic fit</w:t>
            </w:r>
          </w:p>
        </w:tc>
      </w:tr>
      <w:tr>
        <w:trPr>
          <w:cantSplit/>
        </w:trPr>
        <w:tc>
          <w:tcPr>
            <w:tcW w:type="dxa" w:w="1368"/>
          </w:tcPr>
          <w:p>
            <w:pPr>
              <w:pStyle w:val="Compact"/>
              <w:spacing w:line="240" w:lineRule="auto" w:before="30" w:after="30"/>
              <w:ind w:firstLine="0" w:left="0"/>
              <w:jc w:val="left"/>
            </w:pPr>
            <w:r>
              <w:rPr>
                <w:rFonts w:ascii="Times New Roman" w:hAnsi="Times New Roman"/>
                <w:sz w:val="16"/>
              </w:rPr>
              <w:t xml:space="preserve">Financing and capital structure</w:t>
            </w:r>
          </w:p>
        </w:tc>
        <w:tc>
          <w:tcPr>
            <w:tcW w:type="dxa" w:w="1944"/>
          </w:tcPr>
          <w:p>
            <w:pPr>
              <w:pStyle w:val="Compact"/>
              <w:spacing w:line="240" w:lineRule="auto" w:before="30" w:after="30"/>
              <w:ind w:firstLine="0" w:left="0"/>
              <w:jc w:val="left"/>
            </w:pPr>
            <w:r>
              <w:rPr>
                <w:rFonts w:ascii="Times New Roman" w:hAnsi="Times New Roman"/>
                <w:sz w:val="16"/>
              </w:rPr>
              <w:t xml:space="preserve">What mix of debt and equity supports strategy at the lowest cost and acceptable risk?</w:t>
            </w:r>
          </w:p>
        </w:tc>
        <w:tc>
          <w:tcPr>
            <w:tcW w:type="dxa" w:w="1368"/>
          </w:tcPr>
          <w:p>
            <w:pPr>
              <w:pStyle w:val="Compact"/>
              <w:spacing w:line="240" w:lineRule="auto" w:before="30" w:after="30"/>
              <w:ind w:firstLine="0" w:left="0"/>
              <w:jc w:val="left"/>
            </w:pPr>
            <w:r>
              <w:rPr>
                <w:rFonts w:ascii="Times New Roman" w:hAnsi="Times New Roman"/>
                <w:sz w:val="16"/>
              </w:rPr>
              <w:t xml:space="preserve">WACC, leverage ratios, credit rating</w:t>
            </w:r>
          </w:p>
        </w:tc>
      </w:tr>
      <w:tr>
        <w:trPr>
          <w:cantSplit/>
        </w:trPr>
        <w:tc>
          <w:tcPr>
            <w:tcW w:type="dxa" w:w="1368"/>
          </w:tcPr>
          <w:p>
            <w:pPr>
              <w:pStyle w:val="Compact"/>
              <w:spacing w:line="240" w:lineRule="auto" w:before="30" w:after="30"/>
              <w:ind w:firstLine="0" w:left="0"/>
              <w:jc w:val="left"/>
            </w:pPr>
            <w:r>
              <w:rPr>
                <w:rFonts w:ascii="Times New Roman" w:hAnsi="Times New Roman"/>
                <w:sz w:val="16"/>
              </w:rPr>
              <w:t xml:space="preserve">Working capital management</w:t>
            </w:r>
          </w:p>
        </w:tc>
        <w:tc>
          <w:tcPr>
            <w:tcW w:type="dxa" w:w="1944"/>
          </w:tcPr>
          <w:p>
            <w:pPr>
              <w:pStyle w:val="Compact"/>
              <w:spacing w:line="240" w:lineRule="auto" w:before="30" w:after="30"/>
              <w:ind w:firstLine="0" w:left="0"/>
              <w:jc w:val="left"/>
            </w:pPr>
            <w:r>
              <w:rPr>
                <w:rFonts w:ascii="Times New Roman" w:hAnsi="Times New Roman"/>
                <w:sz w:val="16"/>
              </w:rPr>
              <w:t xml:space="preserve">How much capital should be tied up in day-to-day operations?</w:t>
            </w:r>
          </w:p>
        </w:tc>
        <w:tc>
          <w:tcPr>
            <w:tcW w:type="dxa" w:w="1368"/>
          </w:tcPr>
          <w:p>
            <w:pPr>
              <w:pStyle w:val="Compact"/>
              <w:spacing w:line="240" w:lineRule="auto" w:before="30" w:after="30"/>
              <w:ind w:firstLine="0" w:left="0"/>
              <w:jc w:val="left"/>
            </w:pPr>
            <w:r>
              <w:rPr>
                <w:rFonts w:ascii="Times New Roman" w:hAnsi="Times New Roman"/>
                <w:sz w:val="16"/>
              </w:rPr>
              <w:t xml:space="preserve">Cash conversion cycle, inventory and receivable days</w:t>
            </w:r>
          </w:p>
        </w:tc>
      </w:tr>
      <w:tr>
        <w:trPr>
          <w:cantSplit/>
        </w:trPr>
        <w:tc>
          <w:tcPr>
            <w:tcW w:type="dxa" w:w="1368"/>
          </w:tcPr>
          <w:p>
            <w:pPr>
              <w:pStyle w:val="Compact"/>
              <w:spacing w:line="240" w:lineRule="auto" w:before="30" w:after="30"/>
              <w:ind w:firstLine="0" w:left="0"/>
              <w:jc w:val="left"/>
            </w:pPr>
            <w:r>
              <w:rPr>
                <w:rFonts w:ascii="Times New Roman" w:hAnsi="Times New Roman"/>
                <w:sz w:val="16"/>
              </w:rPr>
              <w:t xml:space="preserve">Payout policy</w:t>
            </w:r>
          </w:p>
        </w:tc>
        <w:tc>
          <w:tcPr>
            <w:tcW w:type="dxa" w:w="1944"/>
          </w:tcPr>
          <w:p>
            <w:pPr>
              <w:pStyle w:val="Compact"/>
              <w:spacing w:line="240" w:lineRule="auto" w:before="30" w:after="30"/>
              <w:ind w:firstLine="0" w:left="0"/>
              <w:jc w:val="left"/>
            </w:pPr>
            <w:r>
              <w:rPr>
                <w:rFonts w:ascii="Times New Roman" w:hAnsi="Times New Roman"/>
                <w:sz w:val="16"/>
              </w:rPr>
              <w:t xml:space="preserve">How much cash should be returned to shareholders?</w:t>
            </w:r>
          </w:p>
        </w:tc>
        <w:tc>
          <w:tcPr>
            <w:tcW w:type="dxa" w:w="1368"/>
          </w:tcPr>
          <w:p>
            <w:pPr>
              <w:pStyle w:val="Compact"/>
              <w:spacing w:line="240" w:lineRule="auto" w:before="30" w:after="30"/>
              <w:ind w:firstLine="0" w:left="0"/>
              <w:jc w:val="left"/>
            </w:pPr>
            <w:r>
              <w:rPr>
                <w:rFonts w:ascii="Times New Roman" w:hAnsi="Times New Roman"/>
                <w:sz w:val="16"/>
              </w:rPr>
              <w:t xml:space="preserve">Dividend payout ratio, buybacks, retention rate</w:t>
            </w:r>
          </w:p>
        </w:tc>
      </w:tr>
      <w:tr>
        <w:trPr>
          <w:cantSplit/>
        </w:trPr>
        <w:tc>
          <w:tcPr>
            <w:tcW w:type="dxa" w:w="1368"/>
          </w:tcPr>
          <w:p>
            <w:pPr>
              <w:pStyle w:val="Compact"/>
              <w:spacing w:line="240" w:lineRule="auto" w:before="30" w:after="30"/>
              <w:ind w:firstLine="0" w:left="0"/>
              <w:jc w:val="left"/>
            </w:pPr>
            <w:r>
              <w:rPr>
                <w:rFonts w:ascii="Times New Roman" w:hAnsi="Times New Roman"/>
                <w:sz w:val="16"/>
              </w:rPr>
              <w:t xml:space="preserve">Risk management</w:t>
            </w:r>
          </w:p>
        </w:tc>
        <w:tc>
          <w:tcPr>
            <w:tcW w:type="dxa" w:w="1944"/>
          </w:tcPr>
          <w:p>
            <w:pPr>
              <w:pStyle w:val="Compact"/>
              <w:spacing w:line="240" w:lineRule="auto" w:before="30" w:after="30"/>
              <w:ind w:firstLine="0" w:left="0"/>
              <w:jc w:val="left"/>
            </w:pPr>
            <w:r>
              <w:rPr>
                <w:rFonts w:ascii="Times New Roman" w:hAnsi="Times New Roman"/>
                <w:sz w:val="16"/>
              </w:rPr>
              <w:t xml:space="preserve">Which risks should be retained, reduced or transferred?</w:t>
            </w:r>
          </w:p>
        </w:tc>
        <w:tc>
          <w:tcPr>
            <w:tcW w:type="dxa" w:w="1368"/>
          </w:tcPr>
          <w:p>
            <w:pPr>
              <w:pStyle w:val="Compact"/>
              <w:spacing w:line="240" w:lineRule="auto" w:before="30" w:after="30"/>
              <w:ind w:firstLine="0" w:left="0"/>
              <w:jc w:val="left"/>
            </w:pPr>
            <w:r>
              <w:rPr>
                <w:rFonts w:ascii="Times New Roman" w:hAnsi="Times New Roman"/>
                <w:sz w:val="16"/>
              </w:rPr>
              <w:t xml:space="preserve">Hedging, insurance, stress tests, value at risk</w:t>
            </w:r>
          </w:p>
        </w:tc>
      </w:tr>
      <w:tr>
        <w:trPr>
          <w:cantSplit/>
        </w:trPr>
        <w:tc>
          <w:tcPr>
            <w:tcW w:type="dxa" w:w="1368"/>
          </w:tcPr>
          <w:p>
            <w:pPr>
              <w:pStyle w:val="Compact"/>
              <w:spacing w:line="240" w:lineRule="auto" w:before="30" w:after="30"/>
              <w:ind w:firstLine="0" w:left="0"/>
              <w:jc w:val="left"/>
            </w:pPr>
            <w:r>
              <w:rPr>
                <w:rFonts w:ascii="Times New Roman" w:hAnsi="Times New Roman"/>
                <w:sz w:val="16"/>
              </w:rPr>
              <w:t xml:space="preserve">Planning and performance measurement</w:t>
            </w:r>
          </w:p>
        </w:tc>
        <w:tc>
          <w:tcPr>
            <w:tcW w:type="dxa" w:w="1944"/>
          </w:tcPr>
          <w:p>
            <w:pPr>
              <w:pStyle w:val="Compact"/>
              <w:spacing w:line="240" w:lineRule="auto" w:before="30" w:after="30"/>
              <w:ind w:firstLine="0" w:left="0"/>
              <w:jc w:val="left"/>
            </w:pPr>
            <w:r>
              <w:rPr>
                <w:rFonts w:ascii="Times New Roman" w:hAnsi="Times New Roman"/>
                <w:sz w:val="16"/>
              </w:rPr>
              <w:t xml:space="preserve">Are financial results aligned with strategic goals?</w:t>
            </w:r>
          </w:p>
        </w:tc>
        <w:tc>
          <w:tcPr>
            <w:tcW w:type="dxa" w:w="1368"/>
          </w:tcPr>
          <w:p>
            <w:pPr>
              <w:pStyle w:val="Compact"/>
              <w:spacing w:line="240" w:lineRule="auto" w:before="30" w:after="30"/>
              <w:ind w:firstLine="0" w:left="0"/>
              <w:jc w:val="left"/>
            </w:pPr>
            <w:r>
              <w:rPr>
                <w:rFonts w:ascii="Times New Roman" w:hAnsi="Times New Roman"/>
                <w:sz w:val="16"/>
              </w:rPr>
              <w:t xml:space="preserve">Budgets, EVA, ROCE, balanced scorecard</w:t>
            </w:r>
          </w:p>
        </w:tc>
      </w:tr>
    </w:tbl>
    <w:bookmarkStart w:id="26" w:name="investment-and-capital-budgeting"/>
    <w:p>
      <w:pPr>
        <w:pStyle w:val="Heading2"/>
      </w:pPr>
      <w:r>
        <w:rPr>
          <w:rFonts w:ascii="Times New Roman" w:hAnsi="Times New Roman"/>
        </w:rPr>
        <w:t xml:space="preserve">3.1 Investment and capital budgeting</w:t>
      </w:r>
    </w:p>
    <w:p>
      <w:pPr>
        <w:pStyle w:val="FirstParagraph"/>
      </w:pPr>
      <w:r>
        <w:rPr>
          <w:rFonts w:ascii="Times New Roman" w:hAnsi="Times New Roman"/>
        </w:rPr>
        <w:t xml:space="preserve">Investment decisions determine a firm’s future cash flows and competitive position. Finance theory recommends evaluating projects using net present value (NPV), which discounts expected cash flows at a rate reflecting their risk. Graham and Harvey (2001), surveying chief financial officers, found that NPV and internal rate of return were the most widely used capital budgeting methods, especially in large firms, although many managers also relied on payback periods. Strategic financial management adds attention to strategic fit, competitive response and flexibility, for example by valuing options to expand, delay or abandon projects as conditions change.</w:t>
      </w:r>
    </w:p>
    <w:bookmarkEnd w:id="26"/>
    <w:bookmarkStart w:id="27" w:name="financing-and-capital-structure"/>
    <w:p>
      <w:pPr>
        <w:pStyle w:val="Heading2"/>
      </w:pPr>
      <w:r>
        <w:rPr>
          <w:rFonts w:ascii="Times New Roman" w:hAnsi="Times New Roman"/>
        </w:rPr>
        <w:t xml:space="preserve">3.2 Financing and capital structure</w:t>
      </w:r>
    </w:p>
    <w:p>
      <w:pPr>
        <w:pStyle w:val="FirstParagraph"/>
      </w:pPr>
      <w:r>
        <w:rPr>
          <w:rFonts w:ascii="Times New Roman" w:hAnsi="Times New Roman"/>
        </w:rPr>
        <w:t xml:space="preserve">Modigliani and Miller (1958) showed that, under idealised assumptions, a firm’s value is independent of its capital structure. Later research relaxed these assumptions to consider taxes, bankruptcy costs and information asymmetry. Myers (1984) and Myers and Majluf (1984) proposed the pecking order theory, under which firms prefer internal funds, then debt, and issue equity only as a last resort, because outside investors interpret equity issues as signals of overvaluation. Strategic financing decisions balance the tax benefits and disciplining effect of debt against the risk of financial distress and the need to preserve flexibility for future opportunities.</w:t>
      </w:r>
    </w:p>
    <w:bookmarkEnd w:id="27"/>
    <w:bookmarkStart w:id="28" w:name="working-capital-management"/>
    <w:p>
      <w:pPr>
        <w:pStyle w:val="Heading2"/>
      </w:pPr>
      <w:r>
        <w:rPr>
          <w:rFonts w:ascii="Times New Roman" w:hAnsi="Times New Roman"/>
        </w:rPr>
        <w:t xml:space="preserve">3.3 Working capital management</w:t>
      </w:r>
    </w:p>
    <w:p>
      <w:pPr>
        <w:pStyle w:val="FirstParagraph"/>
      </w:pPr>
      <w:r>
        <w:rPr>
          <w:rFonts w:ascii="Times New Roman" w:hAnsi="Times New Roman"/>
        </w:rPr>
        <w:t xml:space="preserve">Working capital, the investment in inventories and receivables net of payables, ties up substantial resources. Shin and Soenen (1998) found that firms with shorter net trade cycles tended to be more profitable and more highly valued. Deloof (2003), studying Belgian firms, found a negative relationship between gross operating income and the number of days in accounts receivable, inventories and accounts payable. Efficient working capital management releases cash for strategic investment and reduces reliance on external financing.</w:t>
      </w:r>
    </w:p>
    <w:bookmarkEnd w:id="28"/>
    <w:bookmarkStart w:id="29" w:name="payout-policy"/>
    <w:p>
      <w:pPr>
        <w:pStyle w:val="Heading2"/>
      </w:pPr>
      <w:r>
        <w:rPr>
          <w:rFonts w:ascii="Times New Roman" w:hAnsi="Times New Roman"/>
        </w:rPr>
        <w:t xml:space="preserve">3.4 Payout policy</w:t>
      </w:r>
    </w:p>
    <w:p>
      <w:pPr>
        <w:pStyle w:val="FirstParagraph"/>
      </w:pPr>
      <w:r>
        <w:rPr>
          <w:rFonts w:ascii="Times New Roman" w:hAnsi="Times New Roman"/>
        </w:rPr>
        <w:t xml:space="preserve">Lintner (1956) found that managers set dividends with reference to long-run earnings and adjust them gradually, avoiding cuts wherever possible. Miller and Modigliani (1961) showed that, in perfect markets, dividend policy does not affect firm value. In practice, payouts signal management’s confidence in future earnings and, as Jensen (1986) argued, reduce agency costs by limiting free cash flow. Strategic payout decisions balance shareholder expectations against the need to retain earnings for growth.</w:t>
      </w:r>
    </w:p>
    <w:bookmarkEnd w:id="29"/>
    <w:bookmarkStart w:id="30" w:name="risk-management"/>
    <w:p>
      <w:pPr>
        <w:pStyle w:val="Heading2"/>
      </w:pPr>
      <w:r>
        <w:rPr>
          <w:rFonts w:ascii="Times New Roman" w:hAnsi="Times New Roman"/>
        </w:rPr>
        <w:t xml:space="preserve">3.5 Risk management</w:t>
      </w:r>
    </w:p>
    <w:p>
      <w:pPr>
        <w:pStyle w:val="FirstParagraph"/>
      </w:pPr>
      <w:r>
        <w:rPr>
          <w:rFonts w:ascii="Times New Roman" w:hAnsi="Times New Roman"/>
        </w:rPr>
        <w:t xml:space="preserve">Financial theory suggests that diversified shareholders do not need firms to hedge risks they can diversify themselves. Froot et al. (1993) argued, however, that risk management adds value when external finance is costly, because hedging stabilises internal cash flows and allows firms to fund valuable investments even in bad times. Strategic risk management therefore protects the firm’s ability to execute its strategy, covering currency, interest rate, commodity, credit and operational risks.</w:t>
      </w:r>
    </w:p>
    <w:bookmarkEnd w:id="30"/>
    <w:bookmarkStart w:id="31" w:name="Xbef19c73a2c4f2b2ecf87868e614dc09623a2b2"/>
    <w:p>
      <w:pPr>
        <w:pStyle w:val="Heading2"/>
      </w:pPr>
      <w:r>
        <w:rPr>
          <w:rFonts w:ascii="Times New Roman" w:hAnsi="Times New Roman"/>
        </w:rPr>
        <w:t xml:space="preserve">3.6 Financial planning and performance measurement</w:t>
      </w:r>
    </w:p>
    <w:p>
      <w:pPr>
        <w:pStyle w:val="FirstParagraph"/>
      </w:pPr>
      <w:r>
        <w:rPr>
          <w:rFonts w:ascii="Times New Roman" w:hAnsi="Times New Roman"/>
        </w:rPr>
        <w:t xml:space="preserve">Financial plans translate strategy into budgets, targets and resource allocations. Kaplan and Norton (1992) proposed the balanced scorecard, which supplements financial measures with customer, internal process and learning and growth perspectives, so that short-term financial results are not pursued at the expense of long-term capabilities. Value-based metrics such as EVA and return on capital employed connect operational decisions to the creation of shareholder value.</w:t>
      </w:r>
    </w:p>
    <w:bookmarkEnd w:id="31"/>
    <w:bookmarkEnd w:id="32"/>
    <w:bookmarkStart w:id="37" w:name="impact-on-corporate-performance"/>
    <w:p>
      <w:pPr>
        <w:pStyle w:val="Heading1"/>
      </w:pPr>
      <w:r>
        <w:rPr>
          <w:rFonts w:ascii="Times New Roman" w:hAnsi="Times New Roman"/>
        </w:rPr>
        <w:t xml:space="preserve">4. Impact on Corporate Performance</w:t>
      </w:r>
    </w:p>
    <w:bookmarkStart w:id="33" w:name="profitability-and-value-creation"/>
    <w:p>
      <w:pPr>
        <w:pStyle w:val="Heading2"/>
      </w:pPr>
      <w:r>
        <w:rPr>
          <w:rFonts w:ascii="Times New Roman" w:hAnsi="Times New Roman"/>
        </w:rPr>
        <w:t xml:space="preserve">4.1 Profitability and value creation</w:t>
      </w:r>
    </w:p>
    <w:p>
      <w:pPr>
        <w:pStyle w:val="FirstParagraph"/>
      </w:pPr>
      <w:r>
        <w:rPr>
          <w:rFonts w:ascii="Times New Roman" w:hAnsi="Times New Roman"/>
        </w:rPr>
        <w:t xml:space="preserve">Firms that apply disciplined capital allocation and value-based measures tend to direct resources toward their most productive uses. By requiring every business unit to earn more than its cost of capital, value-based management discourages investment in low-return activities and encourages divestment or restructuring of underperforming units. Efficient working capital management, as the studies by Shin and Soenen (1998) and Deloof (2003) indicate, is associated with higher profitability.</w:t>
      </w:r>
    </w:p>
    <w:bookmarkEnd w:id="33"/>
    <w:bookmarkStart w:id="34" w:name="resilience-and-financial-flexibility"/>
    <w:p>
      <w:pPr>
        <w:pStyle w:val="Heading2"/>
      </w:pPr>
      <w:r>
        <w:rPr>
          <w:rFonts w:ascii="Times New Roman" w:hAnsi="Times New Roman"/>
        </w:rPr>
        <w:t xml:space="preserve">4.2 Resilience and financial flexibility</w:t>
      </w:r>
    </w:p>
    <w:p>
      <w:pPr>
        <w:pStyle w:val="FirstParagraph"/>
      </w:pPr>
      <w:r>
        <w:rPr>
          <w:rFonts w:ascii="Times New Roman" w:hAnsi="Times New Roman"/>
        </w:rPr>
        <w:t xml:space="preserve">A prudent capital structure and active risk management increase a firm’s resilience to shocks. Firms with moderate leverage and adequate liquidity can continue to invest during downturns, when assets are cheaper and competitors are constrained. Firms that over-leverage, by contrast, may be forced to cut investment, sell assets at depressed prices or face insolvency. The global financial crisis of 2008 demonstrated how financial fragility can destroy value rapidly, while well-capitalised firms were able to consolidate their positions.</w:t>
      </w:r>
    </w:p>
    <w:bookmarkEnd w:id="34"/>
    <w:bookmarkStart w:id="35" w:name="governance-and-investor-confidence"/>
    <w:p>
      <w:pPr>
        <w:pStyle w:val="Heading2"/>
      </w:pPr>
      <w:r>
        <w:rPr>
          <w:rFonts w:ascii="Times New Roman" w:hAnsi="Times New Roman"/>
        </w:rPr>
        <w:t xml:space="preserve">4.3 Governance and investor confidence</w:t>
      </w:r>
    </w:p>
    <w:p>
      <w:pPr>
        <w:pStyle w:val="FirstParagraph"/>
      </w:pPr>
      <w:r>
        <w:rPr>
          <w:rFonts w:ascii="Times New Roman" w:hAnsi="Times New Roman"/>
        </w:rPr>
        <w:t xml:space="preserve">Strong financial governance, including transparent reporting, independent boards and effective internal controls, reduces agency costs and the cost of capital. Investors are willing to pay more for firms they trust, and lenders offer better terms. In emerging markets, where investor protection may be weaker, firms that voluntarily adopt high governance standards can gain a significant advantage in raising capital.</w:t>
      </w:r>
    </w:p>
    <w:bookmarkEnd w:id="35"/>
    <w:bookmarkStart w:id="36" w:name="strategic-agility"/>
    <w:p>
      <w:pPr>
        <w:pStyle w:val="Heading2"/>
      </w:pPr>
      <w:r>
        <w:rPr>
          <w:rFonts w:ascii="Times New Roman" w:hAnsi="Times New Roman"/>
        </w:rPr>
        <w:t xml:space="preserve">4.4 Strategic agility</w:t>
      </w:r>
    </w:p>
    <w:p>
      <w:pPr>
        <w:pStyle w:val="FirstParagraph"/>
      </w:pPr>
      <w:r>
        <w:rPr>
          <w:rFonts w:ascii="Times New Roman" w:hAnsi="Times New Roman"/>
        </w:rPr>
        <w:t xml:space="preserve">When finance is integrated with strategy, firms can evaluate opportunities more quickly and consistently, such as acquisitions, new products and market entry. A shared language of value creation helps senior managers compare options across businesses and avoid decisions driven by internal politics or short-term earnings pressure.</w:t>
      </w:r>
    </w:p>
    <w:bookmarkEnd w:id="36"/>
    <w:bookmarkEnd w:id="37"/>
    <w:bookmarkStart w:id="40" w:name="X1921b5bdcba7911e7d26ed54dc534bb8ab7d619"/>
    <w:p>
      <w:pPr>
        <w:pStyle w:val="Heading1"/>
      </w:pPr>
      <w:r>
        <w:rPr>
          <w:rFonts w:ascii="Times New Roman" w:hAnsi="Times New Roman"/>
        </w:rPr>
        <w:t xml:space="preserve">5. Strategic Financial Management and Sustainable Growth</w:t>
      </w:r>
    </w:p>
    <w:bookmarkStart w:id="38" w:name="the-sustainable-growth-rate"/>
    <w:p>
      <w:pPr>
        <w:pStyle w:val="Heading2"/>
      </w:pPr>
      <w:r>
        <w:rPr>
          <w:rFonts w:ascii="Times New Roman" w:hAnsi="Times New Roman"/>
        </w:rPr>
        <w:t xml:space="preserve">5.1 The sustainable growth rate</w:t>
      </w:r>
    </w:p>
    <w:p>
      <w:pPr>
        <w:pStyle w:val="FirstParagraph"/>
      </w:pPr>
      <w:r>
        <w:rPr>
          <w:rFonts w:ascii="Times New Roman" w:hAnsi="Times New Roman"/>
        </w:rPr>
        <w:t xml:space="preserve">Higgins (1977) introduced the concept of the sustainable growth rate, the maximum rate at which a firm can grow sales without changing its financial policies, issuing new equity or increasing leverage. In its simplest form:</w:t>
      </w:r>
    </w:p>
    <w:p>
      <w:pPr>
        <w:pStyle w:val="BodyText"/>
      </w:pPr>
      <w:r>
        <w:rPr>
          <w:bCs/>
          <w:rFonts w:ascii="Times New Roman" w:hAnsi="Times New Roman"/>
          <w:b/>
        </w:rPr>
        <w:t xml:space="preserve">Sustainable growth rate (g*) = Return on equity (ROE) × Retention ratio (b)</w:t>
      </w:r>
    </w:p>
    <w:p>
      <w:pPr>
        <w:pStyle w:val="BodyText"/>
      </w:pPr>
      <w:r>
        <w:rPr>
          <w:rFonts w:ascii="Times New Roman" w:hAnsi="Times New Roman"/>
        </w:rPr>
        <w:t xml:space="preserve">where</w:t>
      </w:r>
      <w:r>
        <w:rPr>
          <w:rFonts w:ascii="Times New Roman" w:hAnsi="Times New Roman"/>
        </w:rPr>
        <w:t xml:space="preserve"> </w:t>
      </w:r>
      <w:r>
        <w:rPr>
          <w:iCs/>
          <w:rFonts w:ascii="Times New Roman" w:hAnsi="Times New Roman"/>
          <w:i/>
        </w:rPr>
        <w:t xml:space="preserve">g*</w:t>
      </w:r>
      <w:r>
        <w:rPr>
          <w:rFonts w:ascii="Times New Roman" w:hAnsi="Times New Roman"/>
        </w:rPr>
        <w:t xml:space="preserve"> </w:t>
      </w:r>
      <w:r>
        <w:rPr>
          <w:rFonts w:ascii="Times New Roman" w:hAnsi="Times New Roman"/>
        </w:rPr>
        <w:t xml:space="preserve">is the sustainable growth rate, ROE is return on equity and</w:t>
      </w:r>
      <w:r>
        <w:rPr>
          <w:rFonts w:ascii="Times New Roman" w:hAnsi="Times New Roman"/>
        </w:rPr>
        <w:t xml:space="preserve"> </w:t>
      </w:r>
      <w:r>
        <w:rPr>
          <w:iCs/>
          <w:rFonts w:ascii="Times New Roman" w:hAnsi="Times New Roman"/>
          <w:i/>
        </w:rPr>
        <w:t xml:space="preserve">b</w:t>
      </w:r>
      <w:r>
        <w:rPr>
          <w:rFonts w:ascii="Times New Roman" w:hAnsi="Times New Roman"/>
        </w:rPr>
        <w:t xml:space="preserve"> </w:t>
      </w:r>
      <w:r>
        <w:rPr>
          <w:rFonts w:ascii="Times New Roman" w:hAnsi="Times New Roman"/>
        </w:rPr>
        <w:t xml:space="preserve">is the earnings retention ratio. A firm growing faster than its sustainable rate must raise new equity, borrow more, improve profitability or reduce payouts. The concept shows that growth is not automatically good: growth that outruns financial capacity can push a firm into distress. Strategic financial management keeps growth targets consistent with profitability, payout and financing policies.</w:t>
      </w:r>
    </w:p>
    <w:bookmarkEnd w:id="38"/>
    <w:bookmarkStart w:id="39" w:name="beyond-financial-sustainability-esg"/>
    <w:p>
      <w:pPr>
        <w:pStyle w:val="Heading2"/>
      </w:pPr>
      <w:r>
        <w:rPr>
          <w:rFonts w:ascii="Times New Roman" w:hAnsi="Times New Roman"/>
        </w:rPr>
        <w:t xml:space="preserve">5.2 Beyond financial sustainability: ESG</w:t>
      </w:r>
    </w:p>
    <w:p>
      <w:pPr>
        <w:pStyle w:val="FirstParagraph"/>
      </w:pPr>
      <w:r>
        <w:rPr>
          <w:rFonts w:ascii="Times New Roman" w:hAnsi="Times New Roman"/>
        </w:rPr>
        <w:t xml:space="preserve">Sustainable growth increasingly also means growth that accounts for environmental, social and governance factors. Eccles et al. (2014) compared firms that had adopted extensive sustainability policies with similar firms that had not. They found that high-sustainability firms had distinct governance and stakeholder engagement processes and outperformed their counterparts over the long term in both stock market and accounting performance. Friede et al. (2015), aggregating evidence from more than 2,000 empirical studies, found that the large majority reported a non-negative relationship between ESG criteria and corporate financial performance.</w:t>
      </w:r>
    </w:p>
    <w:p>
      <w:pPr>
        <w:pStyle w:val="BodyText"/>
      </w:pPr>
      <w:r>
        <w:rPr>
          <w:rFonts w:ascii="Times New Roman" w:hAnsi="Times New Roman"/>
        </w:rPr>
        <w:t xml:space="preserve">Porter and Kramer (2011) argued that firms can create shared value by addressing social needs in ways that also strengthen their competitiveness, for example by improving the productivity of suppliers or reducing resource use. From a strategic finance perspective, ESG factors affect cash flows through costs, revenues and regulation, and affect the cost of capital through investors’ perceptions of risk. Integrating them into investment appraisal and risk management is therefore part of sound financial strategy, not merely corporate philanthropy.</w:t>
      </w:r>
    </w:p>
    <w:bookmarkEnd w:id="39"/>
    <w:bookmarkEnd w:id="40"/>
    <w:bookmarkStart w:id="41" w:name="the-indian-context"/>
    <w:p>
      <w:pPr>
        <w:pStyle w:val="Heading1"/>
      </w:pPr>
      <w:r>
        <w:rPr>
          <w:rFonts w:ascii="Times New Roman" w:hAnsi="Times New Roman"/>
        </w:rPr>
        <w:t xml:space="preserve">6. The Indian Context</w:t>
      </w:r>
    </w:p>
    <w:p>
      <w:pPr>
        <w:pStyle w:val="FirstParagraph"/>
      </w:pPr>
      <w:r>
        <w:rPr>
          <w:rFonts w:ascii="Times New Roman" w:hAnsi="Times New Roman"/>
        </w:rPr>
        <w:t xml:space="preserve">India provides a distinctive setting for strategic financial management. Several features stand out.</w:t>
      </w:r>
    </w:p>
    <w:p>
      <w:pPr>
        <w:numPr>
          <w:ilvl w:val="0"/>
          <w:numId w:val="1001"/>
        </w:numPr>
        <w:pStyle w:val="Compact"/>
      </w:pPr>
      <w:r>
        <w:rPr>
          <w:bCs/>
          <w:rFonts w:ascii="Times New Roman" w:hAnsi="Times New Roman"/>
          <w:b/>
        </w:rPr>
        <w:t xml:space="preserve">Business groups.</w:t>
      </w:r>
      <w:r>
        <w:rPr>
          <w:rFonts w:ascii="Times New Roman" w:hAnsi="Times New Roman"/>
        </w:rPr>
        <w:t xml:space="preserve"> </w:t>
      </w:r>
      <w:r>
        <w:rPr>
          <w:rFonts w:ascii="Times New Roman" w:hAnsi="Times New Roman"/>
        </w:rPr>
        <w:t xml:space="preserve">Many large Indian firms belong to diversified business groups. Khanna and Palepu (2000) found that affiliates of the most diversified Indian groups outperformed unaffiliated firms, suggesting that groups can substitute for missing market institutions. Group structures also raise governance questions about related-party transactions and minority shareholder protection.</w:t>
      </w:r>
    </w:p>
    <w:p>
      <w:pPr>
        <w:numPr>
          <w:ilvl w:val="0"/>
          <w:numId w:val="1001"/>
        </w:numPr>
        <w:pStyle w:val="Compact"/>
      </w:pPr>
      <w:r>
        <w:rPr>
          <w:bCs/>
          <w:rFonts w:ascii="Times New Roman" w:hAnsi="Times New Roman"/>
          <w:b/>
        </w:rPr>
        <w:t xml:space="preserve">Regulatory reform.</w:t>
      </w:r>
      <w:r>
        <w:rPr>
          <w:rFonts w:ascii="Times New Roman" w:hAnsi="Times New Roman"/>
        </w:rPr>
        <w:t xml:space="preserve"> </w:t>
      </w:r>
      <w:r>
        <w:rPr>
          <w:rFonts w:ascii="Times New Roman" w:hAnsi="Times New Roman"/>
        </w:rPr>
        <w:t xml:space="preserve">The Companies Act 2013 strengthened requirements for independent directors, audit committees and disclosure. Section 135 of the Act requires companies above specified thresholds of net worth, turnover or profit to spend at least 2 percent of average net profits on corporate social responsibility.</w:t>
      </w:r>
    </w:p>
    <w:p>
      <w:pPr>
        <w:numPr>
          <w:ilvl w:val="0"/>
          <w:numId w:val="1001"/>
        </w:numPr>
        <w:pStyle w:val="Compact"/>
      </w:pPr>
      <w:r>
        <w:rPr>
          <w:bCs/>
          <w:rFonts w:ascii="Times New Roman" w:hAnsi="Times New Roman"/>
          <w:b/>
        </w:rPr>
        <w:t xml:space="preserve">Accounting convergence.</w:t>
      </w:r>
      <w:r>
        <w:rPr>
          <w:rFonts w:ascii="Times New Roman" w:hAnsi="Times New Roman"/>
        </w:rPr>
        <w:t xml:space="preserve"> </w:t>
      </w:r>
      <w:r>
        <w:rPr>
          <w:rFonts w:ascii="Times New Roman" w:hAnsi="Times New Roman"/>
        </w:rPr>
        <w:t xml:space="preserve">The phased adoption of Indian Accounting Standards (Ind AS), converged with International Financial Reporting Standards, began for large companies in 2016–17, improving comparability and transparency of financial statements.</w:t>
      </w:r>
    </w:p>
    <w:p>
      <w:pPr>
        <w:numPr>
          <w:ilvl w:val="0"/>
          <w:numId w:val="1001"/>
        </w:numPr>
        <w:pStyle w:val="Compact"/>
      </w:pPr>
      <w:r>
        <w:rPr>
          <w:bCs/>
          <w:rFonts w:ascii="Times New Roman" w:hAnsi="Times New Roman"/>
          <w:b/>
        </w:rPr>
        <w:t xml:space="preserve">Insolvency reform.</w:t>
      </w:r>
      <w:r>
        <w:rPr>
          <w:rFonts w:ascii="Times New Roman" w:hAnsi="Times New Roman"/>
        </w:rPr>
        <w:t xml:space="preserve"> </w:t>
      </w:r>
      <w:r>
        <w:rPr>
          <w:rFonts w:ascii="Times New Roman" w:hAnsi="Times New Roman"/>
        </w:rPr>
        <w:t xml:space="preserve">The Insolvency and Bankruptcy Code 2016 created a time-bound process for resolving corporate distress. By strengthening creditors’ rights, it is expected to change how firms and lenders assess leverage and default risk.</w:t>
      </w:r>
    </w:p>
    <w:p>
      <w:pPr>
        <w:numPr>
          <w:ilvl w:val="0"/>
          <w:numId w:val="1001"/>
        </w:numPr>
        <w:pStyle w:val="Compact"/>
      </w:pPr>
      <w:r>
        <w:rPr>
          <w:bCs/>
          <w:rFonts w:ascii="Times New Roman" w:hAnsi="Times New Roman"/>
          <w:b/>
        </w:rPr>
        <w:t xml:space="preserve">Sustainability reporting.</w:t>
      </w:r>
      <w:r>
        <w:rPr>
          <w:rFonts w:ascii="Times New Roman" w:hAnsi="Times New Roman"/>
        </w:rPr>
        <w:t xml:space="preserve"> </w:t>
      </w:r>
      <w:r>
        <w:rPr>
          <w:rFonts w:ascii="Times New Roman" w:hAnsi="Times New Roman"/>
        </w:rPr>
        <w:t xml:space="preserve">SEBI’s requirement for business responsibility reports from leading listed companies has encouraged firms to disclose their environmental and social practices, bringing ESG considerations closer to financial decision-making.</w:t>
      </w:r>
    </w:p>
    <w:p>
      <w:pPr>
        <w:numPr>
          <w:ilvl w:val="0"/>
          <w:numId w:val="1001"/>
        </w:numPr>
        <w:pStyle w:val="Compact"/>
      </w:pPr>
      <w:r>
        <w:rPr>
          <w:bCs/>
          <w:rFonts w:ascii="Times New Roman" w:hAnsi="Times New Roman"/>
          <w:b/>
        </w:rPr>
        <w:t xml:space="preserve">Banking stress.</w:t>
      </w:r>
      <w:r>
        <w:rPr>
          <w:rFonts w:ascii="Times New Roman" w:hAnsi="Times New Roman"/>
        </w:rPr>
        <w:t xml:space="preserve"> </w:t>
      </w:r>
      <w:r>
        <w:rPr>
          <w:rFonts w:ascii="Times New Roman" w:hAnsi="Times New Roman"/>
        </w:rPr>
        <w:t xml:space="preserve">Rising non-performing assets in Indian banks have highlighted the costs of aggressive leverage in sectors such as infrastructure, steel and power, underlining the importance of prudent capital structure and realistic investment appraisal.</w:t>
      </w:r>
    </w:p>
    <w:bookmarkEnd w:id="41"/>
    <w:bookmarkStart w:id="42" w:name="challenges"/>
    <w:p>
      <w:pPr>
        <w:pStyle w:val="Heading1"/>
      </w:pPr>
      <w:r>
        <w:rPr>
          <w:rFonts w:ascii="Times New Roman" w:hAnsi="Times New Roman"/>
        </w:rPr>
        <w:t xml:space="preserve">7. Challenges</w:t>
      </w:r>
    </w:p>
    <w:p>
      <w:pPr>
        <w:pStyle w:val="FirstParagraph"/>
      </w:pPr>
      <w:r>
        <w:rPr>
          <w:rFonts w:ascii="Times New Roman" w:hAnsi="Times New Roman"/>
        </w:rPr>
        <w:t xml:space="preserve">Strategic financial management faces several practical challenges.</w:t>
      </w:r>
    </w:p>
    <w:p>
      <w:pPr>
        <w:numPr>
          <w:ilvl w:val="0"/>
          <w:numId w:val="1002"/>
        </w:numPr>
        <w:pStyle w:val="Compact"/>
      </w:pPr>
      <w:r>
        <w:rPr>
          <w:bCs/>
          <w:rFonts w:ascii="Times New Roman" w:hAnsi="Times New Roman"/>
          <w:b/>
        </w:rPr>
        <w:t xml:space="preserve">Short-termism.</w:t>
      </w:r>
      <w:r>
        <w:rPr>
          <w:rFonts w:ascii="Times New Roman" w:hAnsi="Times New Roman"/>
        </w:rPr>
        <w:t xml:space="preserve"> </w:t>
      </w:r>
      <w:r>
        <w:rPr>
          <w:rFonts w:ascii="Times New Roman" w:hAnsi="Times New Roman"/>
        </w:rPr>
        <w:t xml:space="preserve">Pressure to meet quarterly earnings expectations can lead managers to cut valuable long-term investments, such as research and training.</w:t>
      </w:r>
    </w:p>
    <w:p>
      <w:pPr>
        <w:numPr>
          <w:ilvl w:val="0"/>
          <w:numId w:val="1002"/>
        </w:numPr>
        <w:pStyle w:val="Compact"/>
      </w:pPr>
      <w:r>
        <w:rPr>
          <w:bCs/>
          <w:rFonts w:ascii="Times New Roman" w:hAnsi="Times New Roman"/>
          <w:b/>
        </w:rPr>
        <w:t xml:space="preserve">Estimation uncertainty.</w:t>
      </w:r>
      <w:r>
        <w:rPr>
          <w:rFonts w:ascii="Times New Roman" w:hAnsi="Times New Roman"/>
        </w:rPr>
        <w:t xml:space="preserve"> </w:t>
      </w:r>
      <w:r>
        <w:rPr>
          <w:rFonts w:ascii="Times New Roman" w:hAnsi="Times New Roman"/>
        </w:rPr>
        <w:t xml:space="preserve">NPV and value-based methods depend on forecasts of cash flows and discount rates that are inherently uncertain, especially for strategic and innovative projects.</w:t>
      </w:r>
    </w:p>
    <w:p>
      <w:pPr>
        <w:numPr>
          <w:ilvl w:val="0"/>
          <w:numId w:val="1002"/>
        </w:numPr>
        <w:pStyle w:val="Compact"/>
      </w:pPr>
      <w:r>
        <w:rPr>
          <w:bCs/>
          <w:rFonts w:ascii="Times New Roman" w:hAnsi="Times New Roman"/>
          <w:b/>
        </w:rPr>
        <w:t xml:space="preserve">Measuring non-financial value.</w:t>
      </w:r>
      <w:r>
        <w:rPr>
          <w:rFonts w:ascii="Times New Roman" w:hAnsi="Times New Roman"/>
        </w:rPr>
        <w:t xml:space="preserve"> </w:t>
      </w:r>
      <w:r>
        <w:rPr>
          <w:rFonts w:ascii="Times New Roman" w:hAnsi="Times New Roman"/>
        </w:rPr>
        <w:t xml:space="preserve">ESG outcomes and intangible assets are difficult to quantify and integrate into conventional valuation models.</w:t>
      </w:r>
    </w:p>
    <w:p>
      <w:pPr>
        <w:numPr>
          <w:ilvl w:val="0"/>
          <w:numId w:val="1002"/>
        </w:numPr>
        <w:pStyle w:val="Compact"/>
      </w:pPr>
      <w:r>
        <w:rPr>
          <w:bCs/>
          <w:rFonts w:ascii="Times New Roman" w:hAnsi="Times New Roman"/>
          <w:b/>
        </w:rPr>
        <w:t xml:space="preserve">Governance gaps.</w:t>
      </w:r>
      <w:r>
        <w:rPr>
          <w:rFonts w:ascii="Times New Roman" w:hAnsi="Times New Roman"/>
        </w:rPr>
        <w:t xml:space="preserve"> </w:t>
      </w:r>
      <w:r>
        <w:rPr>
          <w:rFonts w:ascii="Times New Roman" w:hAnsi="Times New Roman"/>
        </w:rPr>
        <w:t xml:space="preserve">Concentrated ownership, related-party transactions and weak board independence can undermine capital allocation, particularly in emerging markets.</w:t>
      </w:r>
    </w:p>
    <w:p>
      <w:pPr>
        <w:numPr>
          <w:ilvl w:val="0"/>
          <w:numId w:val="1002"/>
        </w:numPr>
        <w:pStyle w:val="Compact"/>
      </w:pPr>
      <w:r>
        <w:rPr>
          <w:bCs/>
          <w:rFonts w:ascii="Times New Roman" w:hAnsi="Times New Roman"/>
          <w:b/>
        </w:rPr>
        <w:t xml:space="preserve">Capability constraints.</w:t>
      </w:r>
      <w:r>
        <w:rPr>
          <w:rFonts w:ascii="Times New Roman" w:hAnsi="Times New Roman"/>
        </w:rPr>
        <w:t xml:space="preserve"> </w:t>
      </w:r>
      <w:r>
        <w:rPr>
          <w:rFonts w:ascii="Times New Roman" w:hAnsi="Times New Roman"/>
        </w:rPr>
        <w:t xml:space="preserve">Small and medium enterprises often lack the financial expertise and systems needed to apply strategic financial tools.</w:t>
      </w:r>
    </w:p>
    <w:bookmarkEnd w:id="42"/>
    <w:bookmarkStart w:id="43" w:name="implications-for-managers"/>
    <w:p>
      <w:pPr>
        <w:pStyle w:val="Heading1"/>
      </w:pPr>
      <w:r>
        <w:rPr>
          <w:rFonts w:ascii="Times New Roman" w:hAnsi="Times New Roman"/>
        </w:rPr>
        <w:t xml:space="preserve">8. Implications for Managers</w:t>
      </w:r>
    </w:p>
    <w:p>
      <w:pPr>
        <w:numPr>
          <w:ilvl w:val="0"/>
          <w:numId w:val="1003"/>
        </w:numPr>
        <w:pStyle w:val="Compact"/>
      </w:pPr>
      <w:r>
        <w:rPr>
          <w:bCs/>
          <w:rFonts w:ascii="Times New Roman" w:hAnsi="Times New Roman"/>
          <w:b/>
        </w:rPr>
        <w:t xml:space="preserve">Integrate finance and strategy.</w:t>
      </w:r>
      <w:r>
        <w:rPr>
          <w:rFonts w:ascii="Times New Roman" w:hAnsi="Times New Roman"/>
        </w:rPr>
        <w:t xml:space="preserve"> </w:t>
      </w:r>
      <w:r>
        <w:rPr>
          <w:rFonts w:ascii="Times New Roman" w:hAnsi="Times New Roman"/>
        </w:rPr>
        <w:t xml:space="preserve">Involve finance leaders early in strategic planning, and evaluate strategies by their effect on long-term value.</w:t>
      </w:r>
    </w:p>
    <w:p>
      <w:pPr>
        <w:numPr>
          <w:ilvl w:val="0"/>
          <w:numId w:val="1003"/>
        </w:numPr>
        <w:pStyle w:val="Compact"/>
      </w:pPr>
      <w:r>
        <w:rPr>
          <w:bCs/>
          <w:rFonts w:ascii="Times New Roman" w:hAnsi="Times New Roman"/>
          <w:b/>
        </w:rPr>
        <w:t xml:space="preserve">Allocate capital with discipline.</w:t>
      </w:r>
      <w:r>
        <w:rPr>
          <w:rFonts w:ascii="Times New Roman" w:hAnsi="Times New Roman"/>
        </w:rPr>
        <w:t xml:space="preserve"> </w:t>
      </w:r>
      <w:r>
        <w:rPr>
          <w:rFonts w:ascii="Times New Roman" w:hAnsi="Times New Roman"/>
        </w:rPr>
        <w:t xml:space="preserve">Use consistent appraisal methods across the organisation, and be willing to exit businesses that persistently earn less than their cost of capital.</w:t>
      </w:r>
    </w:p>
    <w:p>
      <w:pPr>
        <w:numPr>
          <w:ilvl w:val="0"/>
          <w:numId w:val="1003"/>
        </w:numPr>
        <w:pStyle w:val="Compact"/>
      </w:pPr>
      <w:r>
        <w:rPr>
          <w:bCs/>
          <w:rFonts w:ascii="Times New Roman" w:hAnsi="Times New Roman"/>
          <w:b/>
        </w:rPr>
        <w:t xml:space="preserve">Match growth to financial capacity.</w:t>
      </w:r>
      <w:r>
        <w:rPr>
          <w:rFonts w:ascii="Times New Roman" w:hAnsi="Times New Roman"/>
        </w:rPr>
        <w:t xml:space="preserve"> </w:t>
      </w:r>
      <w:r>
        <w:rPr>
          <w:rFonts w:ascii="Times New Roman" w:hAnsi="Times New Roman"/>
        </w:rPr>
        <w:t xml:space="preserve">Use the sustainable growth rate to check that growth plans are consistent with profitability, payout and financing policy.</w:t>
      </w:r>
    </w:p>
    <w:p>
      <w:pPr>
        <w:numPr>
          <w:ilvl w:val="0"/>
          <w:numId w:val="1003"/>
        </w:numPr>
        <w:pStyle w:val="Compact"/>
      </w:pPr>
      <w:r>
        <w:rPr>
          <w:bCs/>
          <w:rFonts w:ascii="Times New Roman" w:hAnsi="Times New Roman"/>
          <w:b/>
        </w:rPr>
        <w:t xml:space="preserve">Manage working capital actively.</w:t>
      </w:r>
      <w:r>
        <w:rPr>
          <w:rFonts w:ascii="Times New Roman" w:hAnsi="Times New Roman"/>
        </w:rPr>
        <w:t xml:space="preserve"> </w:t>
      </w:r>
      <w:r>
        <w:rPr>
          <w:rFonts w:ascii="Times New Roman" w:hAnsi="Times New Roman"/>
        </w:rPr>
        <w:t xml:space="preserve">Shorten the cash conversion cycle to release cash and reduce external financing needs.</w:t>
      </w:r>
    </w:p>
    <w:p>
      <w:pPr>
        <w:numPr>
          <w:ilvl w:val="0"/>
          <w:numId w:val="1003"/>
        </w:numPr>
        <w:pStyle w:val="Compact"/>
      </w:pPr>
      <w:r>
        <w:rPr>
          <w:bCs/>
          <w:rFonts w:ascii="Times New Roman" w:hAnsi="Times New Roman"/>
          <w:b/>
        </w:rPr>
        <w:t xml:space="preserve">Treat risk management as strategic.</w:t>
      </w:r>
      <w:r>
        <w:rPr>
          <w:rFonts w:ascii="Times New Roman" w:hAnsi="Times New Roman"/>
        </w:rPr>
        <w:t xml:space="preserve"> </w:t>
      </w:r>
      <w:r>
        <w:rPr>
          <w:rFonts w:ascii="Times New Roman" w:hAnsi="Times New Roman"/>
        </w:rPr>
        <w:t xml:space="preserve">Protect the firm’s ability to invest through downturns by maintaining financial flexibility and hedging key exposures.</w:t>
      </w:r>
    </w:p>
    <w:p>
      <w:pPr>
        <w:numPr>
          <w:ilvl w:val="0"/>
          <w:numId w:val="1003"/>
        </w:numPr>
        <w:pStyle w:val="Compact"/>
      </w:pPr>
      <w:r>
        <w:rPr>
          <w:bCs/>
          <w:rFonts w:ascii="Times New Roman" w:hAnsi="Times New Roman"/>
          <w:b/>
        </w:rPr>
        <w:t xml:space="preserve">Strengthen governance and transparency.</w:t>
      </w:r>
      <w:r>
        <w:rPr>
          <w:rFonts w:ascii="Times New Roman" w:hAnsi="Times New Roman"/>
        </w:rPr>
        <w:t xml:space="preserve"> </w:t>
      </w:r>
      <w:r>
        <w:rPr>
          <w:rFonts w:ascii="Times New Roman" w:hAnsi="Times New Roman"/>
        </w:rPr>
        <w:t xml:space="preserve">Independent boards, clear disclosure and fair treatment of minority shareholders lower the cost of capital.</w:t>
      </w:r>
    </w:p>
    <w:p>
      <w:pPr>
        <w:numPr>
          <w:ilvl w:val="0"/>
          <w:numId w:val="1003"/>
        </w:numPr>
        <w:pStyle w:val="Compact"/>
      </w:pPr>
      <w:r>
        <w:rPr>
          <w:bCs/>
          <w:rFonts w:ascii="Times New Roman" w:hAnsi="Times New Roman"/>
          <w:b/>
        </w:rPr>
        <w:t xml:space="preserve">Integrate ESG into decisions.</w:t>
      </w:r>
      <w:r>
        <w:rPr>
          <w:rFonts w:ascii="Times New Roman" w:hAnsi="Times New Roman"/>
        </w:rPr>
        <w:t xml:space="preserve"> </w:t>
      </w:r>
      <w:r>
        <w:rPr>
          <w:rFonts w:ascii="Times New Roman" w:hAnsi="Times New Roman"/>
        </w:rPr>
        <w:t xml:space="preserve">Include environmental, social and governance risks and opportunities in investment appraisal, risk assessment and performance measurement.</w:t>
      </w:r>
    </w:p>
    <w:bookmarkEnd w:id="43"/>
    <w:bookmarkStart w:id="44" w:name="conclusion"/>
    <w:p>
      <w:pPr>
        <w:pStyle w:val="Heading1"/>
      </w:pPr>
      <w:r>
        <w:rPr>
          <w:rFonts w:ascii="Times New Roman" w:hAnsi="Times New Roman"/>
        </w:rPr>
        <w:t xml:space="preserve">9. Conclusion</w:t>
      </w:r>
    </w:p>
    <w:p>
      <w:pPr>
        <w:pStyle w:val="FirstParagraph"/>
      </w:pPr>
      <w:r>
        <w:rPr>
          <w:rFonts w:ascii="Times New Roman" w:hAnsi="Times New Roman"/>
        </w:rPr>
        <w:t xml:space="preserve">Strategic financial management has become central to how firms compete and grow. By integrating investment, financing, working capital, payout, risk management and performance measurement decisions with corporate strategy, firms can allocate resources to their most valuable uses, maintain resilience and build investor confidence. Research on value-based management, capital structure, working capital and risk management shows that these decisions have measurable effects on profitability, firm value and the ability to withstand shocks.</w:t>
      </w:r>
    </w:p>
    <w:p>
      <w:pPr>
        <w:pStyle w:val="BodyText"/>
      </w:pPr>
      <w:r>
        <w:rPr>
          <w:rFonts w:ascii="Times New Roman" w:hAnsi="Times New Roman"/>
        </w:rPr>
        <w:t xml:space="preserve">Sustainable growth requires more than rapid expansion. It requires growth that is financially feasible, consistent with the firm’s sustainable growth rate, and attentive to environmental, social and governance risks that increasingly affect cash flows and the cost of capital. For Indian firms, regulatory reforms in company law, accounting standards, insolvency and responsible business reporting are raising expectations for disciplined and transparent financial management. Firms that respond by aligning finance with strategy, strengthening governance and integrating sustainability into decision-making are best placed to achieve durable corporate performance and long-term growth.</w:t>
      </w:r>
    </w:p>
    <w:bookmarkEnd w:id="44"/>
    <w:bookmarkStart w:id="45" w:name="references"/>
    <w:p>
      <w:pPr>
        <w:pStyle w:val="Heading1"/>
      </w:pPr>
      <w:r>
        <w:rPr>
          <w:rFonts w:ascii="Times New Roman" w:hAnsi="Times New Roman"/>
        </w:rPr>
        <w:t xml:space="preserve">References</w:t>
      </w:r>
    </w:p>
    <w:p>
      <w:pPr>
        <w:pStyle w:val="Reference"/>
      </w:pPr>
      <w:r>
        <w:rPr>
          <w:rFonts w:ascii="Times New Roman" w:hAnsi="Times New Roman"/>
        </w:rPr>
        <w:t xml:space="preserve">Deloof, M. (2003). Does working capital management affect profitability of Belgian firms?</w:t>
      </w:r>
      <w:r>
        <w:rPr>
          <w:rFonts w:ascii="Times New Roman" w:hAnsi="Times New Roman"/>
        </w:rPr>
        <w:t xml:space="preserve"> </w:t>
      </w:r>
      <w:r>
        <w:rPr>
          <w:iCs/>
          <w:rFonts w:ascii="Times New Roman" w:hAnsi="Times New Roman"/>
          <w:i/>
        </w:rPr>
        <w:t xml:space="preserve">Journal of Business Finance &amp; Accounting, 30</w:t>
      </w:r>
      <w:r>
        <w:rPr>
          <w:rFonts w:ascii="Times New Roman" w:hAnsi="Times New Roman"/>
        </w:rPr>
        <w:t xml:space="preserve">(3–4), 573–588.</w:t>
      </w:r>
    </w:p>
    <w:p>
      <w:pPr>
        <w:pStyle w:val="Reference"/>
      </w:pPr>
      <w:r>
        <w:rPr>
          <w:rFonts w:ascii="Times New Roman" w:hAnsi="Times New Roman"/>
        </w:rPr>
        <w:t xml:space="preserve">Eccles, R. G., Ioannou, I., &amp; Serafeim, G. (2014). The impact of corporate sustainability on organizational processes and performance.</w:t>
      </w:r>
      <w:r>
        <w:rPr>
          <w:rFonts w:ascii="Times New Roman" w:hAnsi="Times New Roman"/>
        </w:rPr>
        <w:t xml:space="preserve"> </w:t>
      </w:r>
      <w:r>
        <w:rPr>
          <w:iCs/>
          <w:rFonts w:ascii="Times New Roman" w:hAnsi="Times New Roman"/>
          <w:i/>
        </w:rPr>
        <w:t xml:space="preserve">Management Science, 60</w:t>
      </w:r>
      <w:r>
        <w:rPr>
          <w:rFonts w:ascii="Times New Roman" w:hAnsi="Times New Roman"/>
        </w:rPr>
        <w:t xml:space="preserve">(11), 2835–2857.</w:t>
      </w:r>
    </w:p>
    <w:p>
      <w:pPr>
        <w:pStyle w:val="Reference"/>
      </w:pPr>
      <w:r>
        <w:rPr>
          <w:rFonts w:ascii="Times New Roman" w:hAnsi="Times New Roman"/>
        </w:rPr>
        <w:t xml:space="preserve">Friede, G., Busch, T., &amp; Bassen, A. (2015). ESG and financial performance: Aggregated evidence from more than 2000 empirical studies.</w:t>
      </w:r>
      <w:r>
        <w:rPr>
          <w:rFonts w:ascii="Times New Roman" w:hAnsi="Times New Roman"/>
        </w:rPr>
        <w:t xml:space="preserve"> </w:t>
      </w:r>
      <w:r>
        <w:rPr>
          <w:iCs/>
          <w:rFonts w:ascii="Times New Roman" w:hAnsi="Times New Roman"/>
          <w:i/>
        </w:rPr>
        <w:t xml:space="preserve">Journal of Sustainable Finance &amp; Investment, 5</w:t>
      </w:r>
      <w:r>
        <w:rPr>
          <w:rFonts w:ascii="Times New Roman" w:hAnsi="Times New Roman"/>
        </w:rPr>
        <w:t xml:space="preserve">(4), 210–233.</w:t>
      </w:r>
    </w:p>
    <w:p>
      <w:pPr>
        <w:pStyle w:val="Reference"/>
      </w:pPr>
      <w:r>
        <w:rPr>
          <w:rFonts w:ascii="Times New Roman" w:hAnsi="Times New Roman"/>
        </w:rPr>
        <w:t xml:space="preserve">Froot, K. A., Scharfstein, D. S., &amp; Stein, J. C. (1993). Risk management: Coordinating corporate investment and financing policies.</w:t>
      </w:r>
      <w:r>
        <w:rPr>
          <w:rFonts w:ascii="Times New Roman" w:hAnsi="Times New Roman"/>
        </w:rPr>
        <w:t xml:space="preserve"> </w:t>
      </w:r>
      <w:r>
        <w:rPr>
          <w:iCs/>
          <w:rFonts w:ascii="Times New Roman" w:hAnsi="Times New Roman"/>
          <w:i/>
        </w:rPr>
        <w:t xml:space="preserve">Journal of Finance, 48</w:t>
      </w:r>
      <w:r>
        <w:rPr>
          <w:rFonts w:ascii="Times New Roman" w:hAnsi="Times New Roman"/>
        </w:rPr>
        <w:t xml:space="preserve">(5), 1629–1658.</w:t>
      </w:r>
    </w:p>
    <w:p>
      <w:pPr>
        <w:pStyle w:val="Reference"/>
      </w:pPr>
      <w:r>
        <w:rPr>
          <w:rFonts w:ascii="Times New Roman" w:hAnsi="Times New Roman"/>
        </w:rPr>
        <w:t xml:space="preserve">Graham, J. R., &amp; Harvey, C. R. (2001). The theory and practice of corporate finance: Evidence from the field.</w:t>
      </w:r>
      <w:r>
        <w:rPr>
          <w:rFonts w:ascii="Times New Roman" w:hAnsi="Times New Roman"/>
        </w:rPr>
        <w:t xml:space="preserve"> </w:t>
      </w:r>
      <w:r>
        <w:rPr>
          <w:iCs/>
          <w:rFonts w:ascii="Times New Roman" w:hAnsi="Times New Roman"/>
          <w:i/>
        </w:rPr>
        <w:t xml:space="preserve">Journal of Financial Economics, 60</w:t>
      </w:r>
      <w:r>
        <w:rPr>
          <w:rFonts w:ascii="Times New Roman" w:hAnsi="Times New Roman"/>
        </w:rPr>
        <w:t xml:space="preserve">(2–3), 187–243.</w:t>
      </w:r>
    </w:p>
    <w:p>
      <w:pPr>
        <w:pStyle w:val="Reference"/>
      </w:pPr>
      <w:r>
        <w:rPr>
          <w:rFonts w:ascii="Times New Roman" w:hAnsi="Times New Roman"/>
        </w:rPr>
        <w:t xml:space="preserve">Higgins, R. C. (1977). How much growth can a firm afford?</w:t>
      </w:r>
      <w:r>
        <w:rPr>
          <w:rFonts w:ascii="Times New Roman" w:hAnsi="Times New Roman"/>
        </w:rPr>
        <w:t xml:space="preserve"> </w:t>
      </w:r>
      <w:r>
        <w:rPr>
          <w:iCs/>
          <w:rFonts w:ascii="Times New Roman" w:hAnsi="Times New Roman"/>
          <w:i/>
        </w:rPr>
        <w:t xml:space="preserve">Financial Management, 6</w:t>
      </w:r>
      <w:r>
        <w:rPr>
          <w:rFonts w:ascii="Times New Roman" w:hAnsi="Times New Roman"/>
        </w:rPr>
        <w:t xml:space="preserve">(3), 7–16.</w:t>
      </w:r>
    </w:p>
    <w:p>
      <w:pPr>
        <w:pStyle w:val="Reference"/>
      </w:pPr>
      <w:r>
        <w:rPr>
          <w:rFonts w:ascii="Times New Roman" w:hAnsi="Times New Roman"/>
        </w:rPr>
        <w:t xml:space="preserve">Jensen, M. C. (1986). Agency costs of free cash flow, corporate finance, and takeovers.</w:t>
      </w:r>
      <w:r>
        <w:rPr>
          <w:rFonts w:ascii="Times New Roman" w:hAnsi="Times New Roman"/>
        </w:rPr>
        <w:t xml:space="preserve"> </w:t>
      </w:r>
      <w:r>
        <w:rPr>
          <w:iCs/>
          <w:rFonts w:ascii="Times New Roman" w:hAnsi="Times New Roman"/>
          <w:i/>
        </w:rPr>
        <w:t xml:space="preserve">American Economic Review, 76</w:t>
      </w:r>
      <w:r>
        <w:rPr>
          <w:rFonts w:ascii="Times New Roman" w:hAnsi="Times New Roman"/>
        </w:rPr>
        <w:t xml:space="preserve">(2), 323–329.</w:t>
      </w:r>
    </w:p>
    <w:p>
      <w:pPr>
        <w:pStyle w:val="Reference"/>
      </w:pPr>
      <w:r>
        <w:rPr>
          <w:rFonts w:ascii="Times New Roman" w:hAnsi="Times New Roman"/>
        </w:rPr>
        <w:t xml:space="preserve">Jensen, M. C., &amp; Meckling, W. H. (1976). Theory of the firm: Managerial behavior, agency costs and ownership structure.</w:t>
      </w:r>
      <w:r>
        <w:rPr>
          <w:rFonts w:ascii="Times New Roman" w:hAnsi="Times New Roman"/>
        </w:rPr>
        <w:t xml:space="preserve"> </w:t>
      </w:r>
      <w:r>
        <w:rPr>
          <w:iCs/>
          <w:rFonts w:ascii="Times New Roman" w:hAnsi="Times New Roman"/>
          <w:i/>
        </w:rPr>
        <w:t xml:space="preserve">Journal of Financial Economics, 3</w:t>
      </w:r>
      <w:r>
        <w:rPr>
          <w:rFonts w:ascii="Times New Roman" w:hAnsi="Times New Roman"/>
        </w:rPr>
        <w:t xml:space="preserve">(4), 305–360.</w:t>
      </w:r>
    </w:p>
    <w:p>
      <w:pPr>
        <w:pStyle w:val="Reference"/>
      </w:pPr>
      <w:r>
        <w:rPr>
          <w:rFonts w:ascii="Times New Roman" w:hAnsi="Times New Roman"/>
        </w:rPr>
        <w:t xml:space="preserve">Kaplan, R. S., &amp; Norton, D. P. (1992). The balanced scorecard: Measures that drive performance.</w:t>
      </w:r>
      <w:r>
        <w:rPr>
          <w:rFonts w:ascii="Times New Roman" w:hAnsi="Times New Roman"/>
        </w:rPr>
        <w:t xml:space="preserve"> </w:t>
      </w:r>
      <w:r>
        <w:rPr>
          <w:iCs/>
          <w:rFonts w:ascii="Times New Roman" w:hAnsi="Times New Roman"/>
          <w:i/>
        </w:rPr>
        <w:t xml:space="preserve">Harvard Business Review, 70</w:t>
      </w:r>
      <w:r>
        <w:rPr>
          <w:rFonts w:ascii="Times New Roman" w:hAnsi="Times New Roman"/>
        </w:rPr>
        <w:t xml:space="preserve">(1), 71–79.</w:t>
      </w:r>
    </w:p>
    <w:p>
      <w:pPr>
        <w:pStyle w:val="Reference"/>
      </w:pPr>
      <w:r>
        <w:rPr>
          <w:rFonts w:ascii="Times New Roman" w:hAnsi="Times New Roman"/>
        </w:rPr>
        <w:t xml:space="preserve">Khanna, T., &amp; Palepu, K. (2000). Is group affiliation profitable in emerging markets? An analysis of diversified Indian business groups.</w:t>
      </w:r>
      <w:r>
        <w:rPr>
          <w:rFonts w:ascii="Times New Roman" w:hAnsi="Times New Roman"/>
        </w:rPr>
        <w:t xml:space="preserve"> </w:t>
      </w:r>
      <w:r>
        <w:rPr>
          <w:iCs/>
          <w:rFonts w:ascii="Times New Roman" w:hAnsi="Times New Roman"/>
          <w:i/>
        </w:rPr>
        <w:t xml:space="preserve">Journal of Finance, 55</w:t>
      </w:r>
      <w:r>
        <w:rPr>
          <w:rFonts w:ascii="Times New Roman" w:hAnsi="Times New Roman"/>
        </w:rPr>
        <w:t xml:space="preserve">(2), 867–891.</w:t>
      </w:r>
    </w:p>
    <w:p>
      <w:pPr>
        <w:pStyle w:val="Reference"/>
      </w:pPr>
      <w:r>
        <w:rPr>
          <w:rFonts w:ascii="Times New Roman" w:hAnsi="Times New Roman"/>
        </w:rPr>
        <w:t xml:space="preserve">Lintner, J. (1956). Distribution of incomes of corporations among dividends, retained earnings, and taxes.</w:t>
      </w:r>
      <w:r>
        <w:rPr>
          <w:rFonts w:ascii="Times New Roman" w:hAnsi="Times New Roman"/>
        </w:rPr>
        <w:t xml:space="preserve"> </w:t>
      </w:r>
      <w:r>
        <w:rPr>
          <w:iCs/>
          <w:rFonts w:ascii="Times New Roman" w:hAnsi="Times New Roman"/>
          <w:i/>
        </w:rPr>
        <w:t xml:space="preserve">American Economic Review, 46</w:t>
      </w:r>
      <w:r>
        <w:rPr>
          <w:rFonts w:ascii="Times New Roman" w:hAnsi="Times New Roman"/>
        </w:rPr>
        <w:t xml:space="preserve">(2), 97–113.</w:t>
      </w:r>
    </w:p>
    <w:p>
      <w:pPr>
        <w:pStyle w:val="Reference"/>
      </w:pPr>
      <w:r>
        <w:rPr>
          <w:rFonts w:ascii="Times New Roman" w:hAnsi="Times New Roman"/>
        </w:rPr>
        <w:t xml:space="preserve">Miller, M. H., &amp; Modigliani, F. (1961). Dividend policy, growth, and the valuation of shares.</w:t>
      </w:r>
      <w:r>
        <w:rPr>
          <w:rFonts w:ascii="Times New Roman" w:hAnsi="Times New Roman"/>
        </w:rPr>
        <w:t xml:space="preserve"> </w:t>
      </w:r>
      <w:r>
        <w:rPr>
          <w:iCs/>
          <w:rFonts w:ascii="Times New Roman" w:hAnsi="Times New Roman"/>
          <w:i/>
        </w:rPr>
        <w:t xml:space="preserve">Journal of Business, 34</w:t>
      </w:r>
      <w:r>
        <w:rPr>
          <w:rFonts w:ascii="Times New Roman" w:hAnsi="Times New Roman"/>
        </w:rPr>
        <w:t xml:space="preserve">(4), 411–433.</w:t>
      </w:r>
    </w:p>
    <w:p>
      <w:pPr>
        <w:pStyle w:val="Reference"/>
      </w:pPr>
      <w:r>
        <w:rPr>
          <w:rFonts w:ascii="Times New Roman" w:hAnsi="Times New Roman"/>
        </w:rPr>
        <w:t xml:space="preserve">Modigliani, F., &amp; Miller, M. H. (1958). The cost of capital, corporation finance and the theory of investment.</w:t>
      </w:r>
      <w:r>
        <w:rPr>
          <w:rFonts w:ascii="Times New Roman" w:hAnsi="Times New Roman"/>
        </w:rPr>
        <w:t xml:space="preserve"> </w:t>
      </w:r>
      <w:r>
        <w:rPr>
          <w:iCs/>
          <w:rFonts w:ascii="Times New Roman" w:hAnsi="Times New Roman"/>
          <w:i/>
        </w:rPr>
        <w:t xml:space="preserve">American Economic Review, 48</w:t>
      </w:r>
      <w:r>
        <w:rPr>
          <w:rFonts w:ascii="Times New Roman" w:hAnsi="Times New Roman"/>
        </w:rPr>
        <w:t xml:space="preserve">(3), 261–297.</w:t>
      </w:r>
    </w:p>
    <w:p>
      <w:pPr>
        <w:pStyle w:val="Reference"/>
      </w:pPr>
      <w:r>
        <w:rPr>
          <w:rFonts w:ascii="Times New Roman" w:hAnsi="Times New Roman"/>
        </w:rPr>
        <w:t xml:space="preserve">Myers, S. C. (1984). The capital structure puzzle.</w:t>
      </w:r>
      <w:r>
        <w:rPr>
          <w:rFonts w:ascii="Times New Roman" w:hAnsi="Times New Roman"/>
        </w:rPr>
        <w:t xml:space="preserve"> </w:t>
      </w:r>
      <w:r>
        <w:rPr>
          <w:iCs/>
          <w:rFonts w:ascii="Times New Roman" w:hAnsi="Times New Roman"/>
          <w:i/>
        </w:rPr>
        <w:t xml:space="preserve">Journal of Finance, 39</w:t>
      </w:r>
      <w:r>
        <w:rPr>
          <w:rFonts w:ascii="Times New Roman" w:hAnsi="Times New Roman"/>
        </w:rPr>
        <w:t xml:space="preserve">(3), 575–592.</w:t>
      </w:r>
    </w:p>
    <w:p>
      <w:pPr>
        <w:pStyle w:val="Reference"/>
      </w:pPr>
      <w:r>
        <w:rPr>
          <w:rFonts w:ascii="Times New Roman" w:hAnsi="Times New Roman"/>
        </w:rPr>
        <w:t xml:space="preserve">Myers, S. C., &amp; Majluf, N. S. (1984). Corporate financing and investment decisions when firms have information that investors do not have.</w:t>
      </w:r>
      <w:r>
        <w:rPr>
          <w:rFonts w:ascii="Times New Roman" w:hAnsi="Times New Roman"/>
        </w:rPr>
        <w:t xml:space="preserve"> </w:t>
      </w:r>
      <w:r>
        <w:rPr>
          <w:iCs/>
          <w:rFonts w:ascii="Times New Roman" w:hAnsi="Times New Roman"/>
          <w:i/>
        </w:rPr>
        <w:t xml:space="preserve">Journal of Financial Economics, 13</w:t>
      </w:r>
      <w:r>
        <w:rPr>
          <w:rFonts w:ascii="Times New Roman" w:hAnsi="Times New Roman"/>
        </w:rPr>
        <w:t xml:space="preserve">(2), 187–221.</w:t>
      </w:r>
    </w:p>
    <w:p>
      <w:pPr>
        <w:pStyle w:val="Reference"/>
      </w:pPr>
      <w:r>
        <w:rPr>
          <w:rFonts w:ascii="Times New Roman" w:hAnsi="Times New Roman"/>
        </w:rPr>
        <w:t xml:space="preserve">Porter, M. E., &amp; Kramer, M. R. (2011). Creating shared value.</w:t>
      </w:r>
      <w:r>
        <w:rPr>
          <w:rFonts w:ascii="Times New Roman" w:hAnsi="Times New Roman"/>
        </w:rPr>
        <w:t xml:space="preserve"> </w:t>
      </w:r>
      <w:r>
        <w:rPr>
          <w:iCs/>
          <w:rFonts w:ascii="Times New Roman" w:hAnsi="Times New Roman"/>
          <w:i/>
        </w:rPr>
        <w:t xml:space="preserve">Harvard Business Review, 89</w:t>
      </w:r>
      <w:r>
        <w:rPr>
          <w:rFonts w:ascii="Times New Roman" w:hAnsi="Times New Roman"/>
        </w:rPr>
        <w:t xml:space="preserve">(1/2), 62–77.</w:t>
      </w:r>
    </w:p>
    <w:p>
      <w:pPr>
        <w:pStyle w:val="Reference"/>
      </w:pPr>
      <w:r>
        <w:rPr>
          <w:rFonts w:ascii="Times New Roman" w:hAnsi="Times New Roman"/>
        </w:rPr>
        <w:t xml:space="preserve">Rappaport, A. (1986).</w:t>
      </w:r>
      <w:r>
        <w:rPr>
          <w:rFonts w:ascii="Times New Roman" w:hAnsi="Times New Roman"/>
        </w:rPr>
        <w:t xml:space="preserve"> </w:t>
      </w:r>
      <w:r>
        <w:rPr>
          <w:iCs/>
          <w:rFonts w:ascii="Times New Roman" w:hAnsi="Times New Roman"/>
          <w:i/>
        </w:rPr>
        <w:t xml:space="preserve">Creating shareholder value: The new standard for business performance</w:t>
      </w:r>
      <w:r>
        <w:rPr>
          <w:rFonts w:ascii="Times New Roman" w:hAnsi="Times New Roman"/>
        </w:rPr>
        <w:t xml:space="preserve">. Free Press.</w:t>
      </w:r>
    </w:p>
    <w:p>
      <w:pPr>
        <w:pStyle w:val="Reference"/>
      </w:pPr>
      <w:r>
        <w:rPr>
          <w:rFonts w:ascii="Times New Roman" w:hAnsi="Times New Roman"/>
        </w:rPr>
        <w:t xml:space="preserve">Shin, H.-H., &amp; Soenen, L. (1998). Efficiency of working capital management and corporate profitability.</w:t>
      </w:r>
      <w:r>
        <w:rPr>
          <w:rFonts w:ascii="Times New Roman" w:hAnsi="Times New Roman"/>
        </w:rPr>
        <w:t xml:space="preserve"> </w:t>
      </w:r>
      <w:r>
        <w:rPr>
          <w:iCs/>
          <w:rFonts w:ascii="Times New Roman" w:hAnsi="Times New Roman"/>
          <w:i/>
        </w:rPr>
        <w:t xml:space="preserve">Financial Practice and Education, 8</w:t>
      </w:r>
      <w:r>
        <w:rPr>
          <w:rFonts w:ascii="Times New Roman" w:hAnsi="Times New Roman"/>
        </w:rPr>
        <w:t xml:space="preserve">(2), 37–45.</w:t>
      </w:r>
    </w:p>
    <w:p>
      <w:pPr>
        <w:pStyle w:val="Reference"/>
      </w:pPr>
      <w:r>
        <w:rPr>
          <w:rFonts w:ascii="Times New Roman" w:hAnsi="Times New Roman"/>
        </w:rPr>
        <w:t xml:space="preserve">Shleifer, A., &amp; Vishny, R. W. (1997). A survey of corporate governance.</w:t>
      </w:r>
      <w:r>
        <w:rPr>
          <w:rFonts w:ascii="Times New Roman" w:hAnsi="Times New Roman"/>
        </w:rPr>
        <w:t xml:space="preserve"> </w:t>
      </w:r>
      <w:r>
        <w:rPr>
          <w:iCs/>
          <w:rFonts w:ascii="Times New Roman" w:hAnsi="Times New Roman"/>
          <w:i/>
        </w:rPr>
        <w:t xml:space="preserve">Journal of Finance, 52</w:t>
      </w:r>
      <w:r>
        <w:rPr>
          <w:rFonts w:ascii="Times New Roman" w:hAnsi="Times New Roman"/>
        </w:rPr>
        <w:t xml:space="preserve">(2), 737–783.</w:t>
      </w:r>
    </w:p>
    <w:p>
      <w:pPr>
        <w:pStyle w:val="Reference"/>
      </w:pPr>
      <w:r>
        <w:rPr>
          <w:rFonts w:ascii="Times New Roman" w:hAnsi="Times New Roman"/>
        </w:rPr>
        <w:t xml:space="preserve">Stewart, G. B. (1991).</w:t>
      </w:r>
      <w:r>
        <w:rPr>
          <w:rFonts w:ascii="Times New Roman" w:hAnsi="Times New Roman"/>
        </w:rPr>
        <w:t xml:space="preserve"> </w:t>
      </w:r>
      <w:r>
        <w:rPr>
          <w:iCs/>
          <w:rFonts w:ascii="Times New Roman" w:hAnsi="Times New Roman"/>
          <w:i/>
        </w:rPr>
        <w:t xml:space="preserve">The quest for value: A guide for senior managers</w:t>
      </w:r>
      <w:r>
        <w:rPr>
          <w:rFonts w:ascii="Times New Roman" w:hAnsi="Times New Roman"/>
        </w:rPr>
        <w:t xml:space="preserve">. HarperBusiness.</w:t>
      </w:r>
    </w:p>
    <w:bookmarkEnd w:id="45"/>
    <w:p>
      <w:pPr>
        <w:sectPr>
          <w:type w:val="continuous"/>
          <w:pgSz w:h="15840" w:w="12240"/>
          <w:pgMar w:bottom="1224" w:footer="576" w:header="576" w:left="1080" w:right="1080" w:top="1296"/>
          <w:cols w:num="2" w:space="720" w:equalWidth="1"/>
        </w:sectPr>
      </w:pPr>
    </w:p>
    <w:sectPr>
      <w:type w:val="continuous"/>
      <w:pgSz w:h="15840" w:w="12240"/>
      <w:pgMar w:bottom="1224" w:footer="576" w:header="576" w:left="1080" w:right="1080" w:top="1296"/>
      <w:cols w:num="1"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spacing w:line="240" w:lineRule="auto"/>
      <w:pBdr>
        <w:top w:val="single" w:sz="4" w:space="3" w:color="1F3864"/>
      </w:pBdr>
    </w:pPr>
    <w:r>
      <w:rPr>
        <w:rFonts w:ascii="Times New Roman" w:hAnsi="Times New Roman"/>
        <w:b w:val="0"/>
        <w:i/>
        <w:color w:val="404040"/>
        <w:sz w:val="16"/>
      </w:rPr>
      <w:t>Agarwal (2017)  |  Strategic Financial Management</w:t>
    </w:r>
    <w:r>
      <w:rPr>
        <w:rFonts w:ascii="Times New Roman" w:hAnsi="Times New Roman"/>
        <w:b w:val="0"/>
        <w:i w:val="0"/>
        <w:sz w:val="16"/>
      </w:rPr>
      <w:tab/>
    </w:r>
    <w:r>
      <w:rPr>
        <w:rFonts w:ascii="Times New Roman" w:hAnsi="Times New Roman"/>
        <w:b/>
        <w:sz w:val="18"/>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pBdr>
        <w:top w:val="single" w:sz="4" w:space="3" w:color="1F3864"/>
      </w:pBdr>
    </w:pPr>
    <w:r>
      <w:rPr>
        <w:rFonts w:ascii="Times New Roman" w:hAnsi="Times New Roman"/>
        <w:b w:val="0"/>
        <w:i/>
        <w:color w:val="404040"/>
        <w:sz w:val="16"/>
      </w:rPr>
      <w:t>Available online at www.aijmss.com</w:t>
    </w:r>
    <w:r>
      <w:rPr>
        <w:rFonts w:ascii="Times New Roman" w:hAnsi="Times New Roman"/>
        <w:b w:val="0"/>
        <w:i w:val="0"/>
        <w:sz w:val="16"/>
      </w:rPr>
      <w:tab/>
    </w:r>
    <w:r>
      <w:rPr>
        <w:rFonts w:ascii="Times New Roman" w:hAnsi="Times New Roman"/>
        <w:b/>
        <w:sz w:val="18"/>
      </w:rPr>
      <w:fldChar w:fldCharType="begin"/>
      <w:instrText xml:space="preserve"> PAGE </w:instrText>
      <w:fldChar w:fldCharType="separate"/>
      <w:t>1</w: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080" w:val="right"/>
      </w:tabs>
      <w:spacing w:line="240" w:lineRule="auto"/>
      <w:pBdr>
        <w:bottom w:val="single" w:sz="4" w:space="3" w:color="1F3864"/>
      </w:pBdr>
    </w:pPr>
    <w:r>
      <w:rPr>
        <w:rFonts w:ascii="Times New Roman" w:hAnsi="Times New Roman"/>
        <w:b w:val="0"/>
        <w:i/>
        <w:color w:val="1F3864"/>
        <w:sz w:val="16"/>
      </w:rPr>
      <w:t>Avyukta Journal of Management and Social Sciences</w:t>
    </w:r>
    <w:r>
      <w:rPr>
        <w:rFonts w:ascii="Times New Roman" w:hAnsi="Times New Roman"/>
        <w:b w:val="0"/>
        <w:i w:val="0"/>
        <w:color w:val="1F3864"/>
        <w:sz w:val="16"/>
      </w:rPr>
      <w:tab/>
      <w:t>Vol. 2, No. 1, 2017</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Times New Roman" w:cs="Times New Roman" w:eastAsia="Times New Roman" w:hAnsi="Times New Roman"/>
      <w:color w:val="000000"/>
      <w:sz w:val="20"/>
    </w:rPr>
  </w:style>
  <w:style w:styleId="BodyText" w:type="paragraph">
    <w:name w:val="Body Text"/>
    <w:basedOn w:val="Normal"/>
    <w:link w:val="BodyTextChar"/>
    <w:pPr>
      <w:spacing w:after="0" w:before="0" w:line="240" w:lineRule="auto"/>
      <w:ind w:firstLine="288"/>
      <w:jc w:val="both"/>
    </w:pPr>
    <w:qFormat/>
    <w:rPr>
      <w:rFonts w:ascii="Times New Roman" w:cs="Times New Roman" w:eastAsia="Times New Roman" w:hAnsi="Times New Roman"/>
      <w:color w:val="000000"/>
      <w:sz w:val="20"/>
    </w:rPr>
  </w:style>
  <w:style w:customStyle="1" w:styleId="FirstParagraph" w:type="paragraph">
    <w:name w:val="First Paragraph"/>
    <w:basedOn w:val="BodyText"/>
    <w:next w:val="BodyText"/>
    <w:qFormat/>
    <w:pPr>
      <w:spacing w:after="0" w:before="0" w:line="240" w:lineRule="auto"/>
      <w:ind w:firstLine="0"/>
      <w:jc w:val="both"/>
    </w:pPr>
    <w:rPr>
      <w:rFonts w:ascii="Times New Roman" w:cs="Times New Roman" w:eastAsia="Times New Roman" w:hAnsi="Times New Roman"/>
      <w:color w:val="000000"/>
      <w:sz w:val="20"/>
    </w:rPr>
  </w:style>
  <w:style w:customStyle="1" w:styleId="Compact" w:type="paragraph">
    <w:name w:val="Compact"/>
    <w:basedOn w:val="BodyText"/>
    <w:qFormat/>
    <w:pPr>
      <w:spacing w:after="40" w:before="0" w:line="240" w:lineRule="auto"/>
      <w:jc w:val="both"/>
    </w:pPr>
    <w:rPr>
      <w:rFonts w:ascii="Times New Roman" w:cs="Times New Roman" w:eastAsia="Times New Roman" w:hAnsi="Times New Roman"/>
      <w:color w:val="000000"/>
      <w:sz w:val="20"/>
    </w:rPr>
  </w:style>
  <w:style w:styleId="Title" w:type="paragraph">
    <w:name w:val="Title"/>
    <w:basedOn w:val="Normal"/>
    <w:next w:val="BodyText"/>
    <w:qFormat/>
    <w:pPr>
      <w:keepNext/>
      <w:keepLines/>
      <w:spacing w:after="200" w:before="0" w:line="252" w:lineRule="auto"/>
      <w:jc w:val="center"/>
    </w:pPr>
    <w:rPr>
      <w:rFonts w:ascii="Times New Roman" w:cs="Times New Roman" w:eastAsia="Times New Roman" w:hAnsi="Times New Roman"/>
      <w:b/>
      <w:bCs/>
      <w:i w:val="0"/>
      <w:color w:val="111111"/>
      <w:sz w:val="34"/>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spacing w:after="20" w:before="0" w:line="240" w:lineRule="auto"/>
      <w:jc w:val="center"/>
    </w:pPr>
    <w:rPr>
      <w:rFonts w:ascii="Times New Roman" w:cs="Times New Roman" w:eastAsia="Times New Roman" w:hAnsi="Times New Roman"/>
      <w:b/>
      <w:i w:val="0"/>
      <w:color w:val="000000"/>
      <w:sz w:val="23"/>
    </w:r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60" w:before="180" w:line="240" w:lineRule="auto"/>
      <w:jc w:val="left"/>
      <w:outlineLvl w:val="0"/>
      <w:pBdr>
        <w:bottom w:color="1F3864" w:space="1" w:sz="4" w:val="single"/>
      </w:pBdr>
    </w:pPr>
    <w:rPr>
      <w:rFonts w:ascii="Times New Roman" w:cs="Times New Roman" w:eastAsia="Times New Roman" w:hAnsi="Times New Roman"/>
      <w:b/>
      <w:bCs/>
      <w:i w:val="0"/>
      <w:color w:val="1F3864"/>
      <w:sz w:val="21"/>
      <w:szCs w:val="32"/>
      <w:smallCaps/>
    </w:rPr>
  </w:style>
  <w:style w:styleId="Heading2" w:type="paragraph">
    <w:name w:val="Heading 2"/>
    <w:basedOn w:val="Normal"/>
    <w:next w:val="BodyText"/>
    <w:uiPriority w:val="9"/>
    <w:unhideWhenUsed/>
    <w:qFormat/>
    <w:pPr>
      <w:keepNext/>
      <w:keepLines/>
      <w:spacing w:after="40" w:before="120" w:line="240" w:lineRule="auto"/>
      <w:jc w:val="left"/>
      <w:outlineLvl w:val="1"/>
    </w:pPr>
    <w:rPr>
      <w:rFonts w:ascii="Times New Roman" w:cs="Times New Roman" w:eastAsia="Times New Roman" w:hAnsi="Times New Roman"/>
      <w:b/>
      <w:bCs/>
      <w:i w:val="0"/>
      <w:color w:val="1F3864"/>
      <w:sz w:val="20"/>
      <w:szCs w:val="28"/>
    </w:rPr>
  </w:style>
  <w:style w:styleId="Heading3" w:type="paragraph">
    <w:name w:val="Heading 3"/>
    <w:basedOn w:val="Normal"/>
    <w:next w:val="BodyText"/>
    <w:uiPriority w:val="9"/>
    <w:unhideWhenUsed/>
    <w:qFormat/>
    <w:pPr>
      <w:keepNext/>
      <w:keepLines/>
      <w:spacing w:after="0" w:before="80" w:line="240" w:lineRule="auto"/>
      <w:outlineLvl w:val="2"/>
    </w:pPr>
    <w:rPr>
      <w:rFonts w:ascii="Times New Roman" w:cs="Times New Roman" w:eastAsia="Times New Roman" w:hAnsi="Times New Roman"/>
      <w:b/>
      <w:bCs/>
      <w:i/>
      <w:color w:val="000000"/>
      <w:sz w:val="20"/>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1F3864"/>
      <w:u w:val="non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MastJournal" w:type="paragraph">
    <w:name w:val="MastJournal"/>
    <w:basedOn w:val="Normal"/>
    <w:pPr>
      <w:keepNext/>
      <w:spacing w:after="0" w:before="0" w:line="240" w:lineRule="auto"/>
      <w:jc w:val="center"/>
    </w:pPr>
    <w:rPr>
      <w:rFonts w:ascii="Times New Roman" w:cs="Times New Roman" w:eastAsia="Times New Roman" w:hAnsi="Times New Roman"/>
      <w:b/>
      <w:i w:val="0"/>
      <w:color w:val="1F3864"/>
      <w:sz w:val="26"/>
      <w:smallCaps/>
      <w:spacing w:val="10"/>
    </w:rPr>
  </w:style>
  <w:style w:customStyle="1" w:styleId="MastIssue" w:type="paragraph">
    <w:name w:val="MastIssue"/>
    <w:basedOn w:val="Normal"/>
    <w:pPr>
      <w:keepNext/>
      <w:spacing w:after="360" w:before="0" w:line="240" w:lineRule="auto"/>
      <w:jc w:val="center"/>
      <w:pBdr>
        <w:bottom w:color="1F3864" w:space="4" w:sz="18" w:val="thickThinSmallGap"/>
      </w:pBdr>
    </w:pPr>
    <w:rPr>
      <w:rFonts w:ascii="Times New Roman" w:cs="Times New Roman" w:eastAsia="Times New Roman" w:hAnsi="Times New Roman"/>
      <w:b w:val="0"/>
      <w:i w:val="0"/>
      <w:color w:val="404040"/>
      <w:sz w:val="18"/>
    </w:rPr>
  </w:style>
  <w:style w:customStyle="1" w:styleId="Affiliation" w:type="paragraph">
    <w:name w:val="Affiliation"/>
    <w:basedOn w:val="Normal"/>
    <w:pPr>
      <w:keepNext/>
      <w:spacing w:after="280" w:before="0" w:line="240" w:lineRule="auto"/>
      <w:jc w:val="center"/>
    </w:pPr>
    <w:rPr>
      <w:rFonts w:ascii="Times New Roman" w:cs="Times New Roman" w:eastAsia="Times New Roman" w:hAnsi="Times New Roman"/>
      <w:b w:val="0"/>
      <w:i/>
      <w:color w:val="000000"/>
      <w:sz w:val="19"/>
    </w:rPr>
  </w:style>
  <w:style w:customStyle="1" w:styleId="AbstractHeading" w:type="paragraph">
    <w:name w:val="AbstractHeading"/>
    <w:basedOn w:val="Normal"/>
    <w:pPr>
      <w:keepNext/>
      <w:spacing w:after="60" w:before="120" w:line="240" w:lineRule="auto"/>
      <w:ind w:left="144" w:right="144"/>
      <w:jc w:val="left"/>
      <w:pBdr>
        <w:top w:color="1F3864" w:space="6" w:sz="6" w:val="single"/>
        <w:left w:color="1F3864" w:space="6" w:sz="6" w:val="single"/>
        <w:bottom w:color="1F3864" w:space="6" w:sz="6" w:val="single"/>
        <w:right w:color="1F3864" w:space="6" w:sz="6" w:val="single"/>
      </w:pBdr>
      <w:shd w:color="auto" w:fill="EEF2F8" w:val="clear"/>
    </w:pPr>
    <w:rPr>
      <w:rFonts w:ascii="Times New Roman" w:cs="Times New Roman" w:eastAsia="Times New Roman" w:hAnsi="Times New Roman"/>
      <w:b/>
      <w:i w:val="0"/>
      <w:color w:val="1F3864"/>
      <w:sz w:val="20"/>
      <w:smallCaps/>
      <w:spacing w:val="10"/>
    </w:rPr>
  </w:style>
  <w:style w:customStyle="1" w:styleId="AbstractText" w:type="paragraph">
    <w:name w:val="AbstractText"/>
    <w:basedOn w:val="Normal"/>
    <w:pPr>
      <w:keepNext/>
      <w:spacing w:after="80" w:before="0" w:line="240" w:lineRule="auto"/>
      <w:ind w:left="144" w:right="144"/>
      <w:jc w:val="both"/>
      <w:pBdr>
        <w:top w:color="1F3864" w:space="6" w:sz="6" w:val="single"/>
        <w:left w:color="1F3864" w:space="6" w:sz="6" w:val="single"/>
        <w:bottom w:color="1F3864" w:space="6" w:sz="6" w:val="single"/>
        <w:right w:color="1F3864" w:space="6" w:sz="6" w:val="single"/>
      </w:pBdr>
      <w:shd w:color="auto" w:fill="EEF2F8" w:val="clear"/>
    </w:pPr>
    <w:rPr>
      <w:rFonts w:ascii="Times New Roman" w:cs="Times New Roman" w:eastAsia="Times New Roman" w:hAnsi="Times New Roman"/>
      <w:b w:val="0"/>
      <w:i w:val="0"/>
      <w:color w:val="000000"/>
      <w:sz w:val="19"/>
    </w:rPr>
  </w:style>
  <w:style w:customStyle="1" w:styleId="Keywords" w:type="paragraph">
    <w:name w:val="Keywords"/>
    <w:basedOn w:val="Normal"/>
    <w:pPr>
      <w:keepNext/>
      <w:spacing w:after="80" w:before="0" w:line="240" w:lineRule="auto"/>
      <w:ind w:left="144" w:right="144"/>
      <w:jc w:val="left"/>
      <w:pBdr>
        <w:top w:color="1F3864" w:space="6" w:sz="6" w:val="single"/>
        <w:left w:color="1F3864" w:space="6" w:sz="6" w:val="single"/>
        <w:bottom w:color="1F3864" w:space="6" w:sz="6" w:val="single"/>
        <w:right w:color="1F3864" w:space="6" w:sz="6" w:val="single"/>
      </w:pBdr>
      <w:shd w:color="auto" w:fill="EEF2F8" w:val="clear"/>
    </w:pPr>
    <w:rPr>
      <w:rFonts w:ascii="Times New Roman" w:cs="Times New Roman" w:eastAsia="Times New Roman" w:hAnsi="Times New Roman"/>
      <w:b w:val="0"/>
      <w:i w:val="0"/>
      <w:color w:val="000000"/>
      <w:sz w:val="19"/>
    </w:rPr>
  </w:style>
  <w:style w:customStyle="1" w:styleId="CiteAs" w:type="paragraph">
    <w:name w:val="CiteAs"/>
    <w:basedOn w:val="Normal"/>
    <w:pPr>
      <w:keepNext/>
      <w:spacing w:after="120" w:before="40" w:line="240" w:lineRule="auto"/>
      <w:ind w:left="144" w:right="144"/>
      <w:jc w:val="left"/>
      <w:pBdr>
        <w:top w:color="1F3864" w:space="6" w:sz="6" w:val="single"/>
        <w:left w:color="1F3864" w:space="6" w:sz="6" w:val="single"/>
        <w:bottom w:color="1F3864" w:space="6" w:sz="6" w:val="single"/>
        <w:right w:color="1F3864" w:space="6" w:sz="6" w:val="single"/>
      </w:pBdr>
      <w:shd w:color="auto" w:fill="EEF2F8" w:val="clear"/>
    </w:pPr>
    <w:rPr>
      <w:rFonts w:ascii="Times New Roman" w:cs="Times New Roman" w:eastAsia="Times New Roman" w:hAnsi="Times New Roman"/>
      <w:b w:val="0"/>
      <w:i w:val="0"/>
      <w:color w:val="333333"/>
      <w:sz w:val="17"/>
    </w:rPr>
  </w:style>
  <w:style w:customStyle="1" w:styleId="SectionBreakMarker" w:type="paragraph">
    <w:name w:val="SectionBreakMarker"/>
    <w:basedOn w:val="Normal"/>
    <w:pPr>
      <w:spacing w:after="120" w:before="0" w:line="240" w:lineRule="auto"/>
    </w:pPr>
    <w:rPr>
      <w:rFonts w:ascii="Times New Roman" w:cs="Times New Roman" w:eastAsia="Times New Roman" w:hAnsi="Times New Roman"/>
      <w:color w:val="000000"/>
      <w:sz w:val="12"/>
    </w:rPr>
  </w:style>
  <w:style w:customStyle="1" w:styleId="Reference" w:type="paragraph">
    <w:name w:val="Reference"/>
    <w:basedOn w:val="Normal"/>
    <w:pPr>
      <w:spacing w:after="50" w:before="0" w:line="240" w:lineRule="auto"/>
      <w:ind w:hanging="317" w:left="317"/>
      <w:jc w:val="left"/>
    </w:pPr>
    <w:rPr>
      <w:rFonts w:ascii="Times New Roman" w:cs="Times New Roman" w:eastAsia="Times New Roman" w:hAnsi="Times New Roman"/>
      <w:color w:val="000000"/>
      <w:sz w:val="17"/>
    </w:rPr>
  </w:style>
  <w:style w:customStyle="1" w:styleId="TableLabel" w:type="paragraph">
    <w:name w:val="TableLabel"/>
    <w:basedOn w:val="Normal"/>
    <w:pPr>
      <w:keepNext/>
      <w:spacing w:after="0" w:before="120" w:line="240" w:lineRule="auto"/>
    </w:pPr>
    <w:rPr>
      <w:rFonts w:ascii="Times New Roman" w:cs="Times New Roman" w:eastAsia="Times New Roman" w:hAnsi="Times New Roman"/>
      <w:b/>
      <w:i w:val="0"/>
      <w:color w:val="1F3864"/>
      <w:sz w:val="18"/>
    </w:rPr>
  </w:style>
  <w:style w:customStyle="1" w:styleId="TableTitle" w:type="paragraph">
    <w:name w:val="TableTitle"/>
    <w:basedOn w:val="Normal"/>
    <w:pPr>
      <w:keepNext/>
      <w:spacing w:after="60" w:before="0" w:line="240" w:lineRule="auto"/>
    </w:pPr>
    <w:rPr>
      <w:rFonts w:ascii="Times New Roman" w:cs="Times New Roman" w:eastAsia="Times New Roman" w:hAnsi="Times New Roman"/>
      <w:b w:val="0"/>
      <w:i/>
      <w:color w:val="000000"/>
      <w:sz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www.aijmss.com/journal/issue/view/10"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_rels/footnotes.xml.rels><?xml version='1.0' encoding='UTF-8' standalone='yes'?>
<Relationships xmlns="http://schemas.openxmlformats.org/package/2006/relationships"><Relationship Id="rId20" Type="http://schemas.openxmlformats.org/officeDocument/2006/relationships/hyperlink" Target="https://www.aijmss.com/journal/issue/view/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Financial Management and Its Impact on Corporate Performance and Sustainable Business Growth</dc:title>
  <dc:creator>Agarwal</dc:creator>
  <cp:keywords/>
  <dcterms:created xsi:type="dcterms:W3CDTF">2026-10-14T06:05:54Z</dcterms:created>
  <dcterms:modified xsi:type="dcterms:W3CDTF">2026-10-14T06:05:54Z</dcterms:modified>
</cp:coreProperties>
</file>

<file path=docProps/custom.xml><?xml version="1.0" encoding="utf-8"?>
<Properties xmlns="http://schemas.openxmlformats.org/officeDocument/2006/custom-properties" xmlns:vt="http://schemas.openxmlformats.org/officeDocument/2006/docPropsVTypes"/>
</file>